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D8AD" w14:textId="77777777" w:rsidR="004157B6" w:rsidRDefault="004157B6" w:rsidP="00886708">
      <w:pPr>
        <w:jc w:val="center"/>
        <w:rPr>
          <w:rFonts w:ascii="Calibri" w:hAnsi="Calibri" w:cs="Calibri"/>
          <w:b/>
          <w:sz w:val="28"/>
          <w:szCs w:val="28"/>
        </w:rPr>
      </w:pPr>
      <w:r w:rsidRPr="000261DE">
        <w:rPr>
          <w:noProof/>
          <w:color w:val="FF0000"/>
        </w:rPr>
        <mc:AlternateContent>
          <mc:Choice Requires="wps">
            <w:drawing>
              <wp:anchor distT="0" distB="0" distL="114300" distR="114300" simplePos="0" relativeHeight="251659264" behindDoc="0" locked="0" layoutInCell="1" allowOverlap="1" wp14:anchorId="344DBC0B" wp14:editId="2533B908">
                <wp:simplePos x="0" y="0"/>
                <wp:positionH relativeFrom="margin">
                  <wp:posOffset>2428875</wp:posOffset>
                </wp:positionH>
                <wp:positionV relativeFrom="paragraph">
                  <wp:posOffset>-527685</wp:posOffset>
                </wp:positionV>
                <wp:extent cx="3638550" cy="1162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9AC8C" w14:textId="77777777" w:rsidR="004157B6" w:rsidRPr="00F5439B" w:rsidRDefault="004157B6" w:rsidP="00503854">
                            <w:pPr>
                              <w:spacing w:after="120"/>
                              <w:ind w:right="-75"/>
                              <w:jc w:val="right"/>
                              <w:rPr>
                                <w:rFonts w:ascii="Arial" w:hAnsi="Arial" w:cs="Arial"/>
                                <w:b/>
                                <w:sz w:val="40"/>
                                <w:szCs w:val="40"/>
                              </w:rPr>
                            </w:pPr>
                            <w:r w:rsidRPr="00F5439B">
                              <w:rPr>
                                <w:rFonts w:ascii="Arial" w:hAnsi="Arial" w:cs="Arial"/>
                                <w:b/>
                                <w:sz w:val="40"/>
                                <w:szCs w:val="40"/>
                              </w:rPr>
                              <w:t>News Release</w:t>
                            </w:r>
                          </w:p>
                          <w:p w14:paraId="504D70B1" w14:textId="77777777" w:rsidR="004157B6" w:rsidRPr="00F5439B" w:rsidRDefault="004157B6" w:rsidP="00503854">
                            <w:pPr>
                              <w:spacing w:after="0"/>
                              <w:ind w:right="675"/>
                              <w:jc w:val="right"/>
                              <w:rPr>
                                <w:rFonts w:ascii="Arial" w:hAnsi="Arial" w:cs="Arial"/>
                                <w:color w:val="00673E"/>
                                <w:sz w:val="20"/>
                                <w:szCs w:val="20"/>
                              </w:rPr>
                            </w:pPr>
                            <w:r w:rsidRPr="00F5439B">
                              <w:rPr>
                                <w:rFonts w:ascii="Arial" w:hAnsi="Arial" w:cs="Arial"/>
                                <w:color w:val="00673E"/>
                                <w:sz w:val="20"/>
                                <w:szCs w:val="20"/>
                              </w:rPr>
                              <w:t>Contact</w:t>
                            </w:r>
                            <w:r>
                              <w:rPr>
                                <w:rFonts w:ascii="Arial" w:hAnsi="Arial" w:cs="Arial"/>
                                <w:color w:val="00673E"/>
                                <w:sz w:val="20"/>
                                <w:szCs w:val="20"/>
                              </w:rPr>
                              <w:t xml:space="preserve">: </w:t>
                            </w:r>
                            <w:r w:rsidR="000D4D85">
                              <w:rPr>
                                <w:rFonts w:ascii="Arial" w:hAnsi="Arial" w:cs="Arial"/>
                                <w:color w:val="00673E"/>
                                <w:sz w:val="20"/>
                                <w:szCs w:val="20"/>
                              </w:rPr>
                              <w:t>Susan M. Kurz</w:t>
                            </w:r>
                          </w:p>
                          <w:p w14:paraId="45E91D7A" w14:textId="22A449AC" w:rsidR="004157B6" w:rsidRPr="00F5439B" w:rsidRDefault="004157B6" w:rsidP="00503854">
                            <w:pPr>
                              <w:spacing w:after="0"/>
                              <w:ind w:right="675" w:firstLine="720"/>
                              <w:jc w:val="right"/>
                              <w:rPr>
                                <w:rFonts w:ascii="Arial" w:hAnsi="Arial" w:cs="Arial"/>
                                <w:color w:val="00673E"/>
                                <w:sz w:val="20"/>
                                <w:szCs w:val="20"/>
                              </w:rPr>
                            </w:pPr>
                            <w:r>
                              <w:rPr>
                                <w:rFonts w:ascii="Arial" w:hAnsi="Arial" w:cs="Arial"/>
                                <w:color w:val="00673E"/>
                                <w:sz w:val="20"/>
                                <w:szCs w:val="20"/>
                              </w:rPr>
                              <w:t xml:space="preserve"> </w:t>
                            </w:r>
                            <w:r w:rsidR="000D4D85">
                              <w:rPr>
                                <w:rFonts w:ascii="Arial" w:hAnsi="Arial" w:cs="Arial"/>
                                <w:color w:val="00673E"/>
                                <w:sz w:val="20"/>
                                <w:szCs w:val="20"/>
                              </w:rPr>
                              <w:t>216.622.8346</w:t>
                            </w:r>
                            <w:r>
                              <w:rPr>
                                <w:rFonts w:ascii="Arial" w:hAnsi="Arial" w:cs="Arial"/>
                                <w:color w:val="00673E"/>
                                <w:sz w:val="20"/>
                                <w:szCs w:val="20"/>
                              </w:rPr>
                              <w:t xml:space="preserve"> </w:t>
                            </w:r>
                            <w:bookmarkStart w:id="0" w:name="_GoBack"/>
                            <w:bookmarkEnd w:id="0"/>
                          </w:p>
                          <w:p w14:paraId="368E6DAE" w14:textId="012CBD9D" w:rsidR="004157B6" w:rsidRPr="00F5439B" w:rsidRDefault="000D4D85" w:rsidP="00503854">
                            <w:pPr>
                              <w:spacing w:after="0"/>
                              <w:ind w:right="675" w:firstLine="720"/>
                              <w:jc w:val="right"/>
                              <w:rPr>
                                <w:rFonts w:ascii="Arial" w:hAnsi="Arial" w:cs="Arial"/>
                                <w:color w:val="00673E"/>
                                <w:sz w:val="20"/>
                                <w:szCs w:val="20"/>
                              </w:rPr>
                            </w:pPr>
                            <w:r>
                              <w:rPr>
                                <w:rFonts w:ascii="Arial" w:hAnsi="Arial" w:cs="Arial"/>
                                <w:color w:val="00673E"/>
                                <w:sz w:val="20"/>
                                <w:szCs w:val="20"/>
                              </w:rPr>
                              <w:t>skurz</w:t>
                            </w:r>
                            <w:r w:rsidR="004157B6" w:rsidRPr="00F5439B">
                              <w:rPr>
                                <w:rFonts w:ascii="Arial" w:hAnsi="Arial" w:cs="Arial"/>
                                <w:color w:val="00673E"/>
                                <w:sz w:val="20"/>
                                <w:szCs w:val="20"/>
                              </w:rPr>
                              <w:t>@calfee.com</w:t>
                            </w:r>
                          </w:p>
                          <w:p w14:paraId="11127066" w14:textId="77777777" w:rsidR="004157B6" w:rsidRPr="0016195E" w:rsidRDefault="004157B6" w:rsidP="00503854">
                            <w:pPr>
                              <w:spacing w:after="0"/>
                              <w:ind w:right="675"/>
                              <w:jc w:val="left"/>
                              <w:rPr>
                                <w:color w:val="4F6228"/>
                                <w:sz w:val="20"/>
                                <w:szCs w:val="20"/>
                              </w:rPr>
                            </w:pPr>
                          </w:p>
                          <w:p w14:paraId="0B6EB7C6" w14:textId="77777777" w:rsidR="004157B6" w:rsidRPr="0016195E" w:rsidRDefault="004157B6" w:rsidP="00503854">
                            <w:pPr>
                              <w:spacing w:after="0"/>
                              <w:ind w:right="675"/>
                              <w:jc w:val="right"/>
                              <w:rPr>
                                <w:color w:val="4F6228"/>
                                <w:sz w:val="20"/>
                                <w:szCs w:val="20"/>
                              </w:rPr>
                            </w:pPr>
                          </w:p>
                          <w:p w14:paraId="318CDBAE" w14:textId="77777777" w:rsidR="004157B6" w:rsidRDefault="004157B6" w:rsidP="00503854">
                            <w:pPr>
                              <w:spacing w:after="0"/>
                              <w:ind w:right="67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DBC0B" id="_x0000_t202" coordsize="21600,21600" o:spt="202" path="m,l,21600r21600,l21600,xe">
                <v:stroke joinstyle="miter"/>
                <v:path gradientshapeok="t" o:connecttype="rect"/>
              </v:shapetype>
              <v:shape id="Text Box 2" o:spid="_x0000_s1026" type="#_x0000_t202" style="position:absolute;left:0;text-align:left;margin-left:191.25pt;margin-top:-41.55pt;width:286.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MU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" stroked="f">
                <v:textbox>
                  <w:txbxContent>
                    <w:p w14:paraId="68A9AC8C" w14:textId="77777777" w:rsidR="004157B6" w:rsidRPr="00F5439B" w:rsidRDefault="004157B6" w:rsidP="00503854">
                      <w:pPr>
                        <w:spacing w:after="120"/>
                        <w:ind w:right="-75"/>
                        <w:jc w:val="right"/>
                        <w:rPr>
                          <w:rFonts w:ascii="Arial" w:hAnsi="Arial" w:cs="Arial"/>
                          <w:b/>
                          <w:sz w:val="40"/>
                          <w:szCs w:val="40"/>
                        </w:rPr>
                      </w:pPr>
                      <w:r w:rsidRPr="00F5439B">
                        <w:rPr>
                          <w:rFonts w:ascii="Arial" w:hAnsi="Arial" w:cs="Arial"/>
                          <w:b/>
                          <w:sz w:val="40"/>
                          <w:szCs w:val="40"/>
                        </w:rPr>
                        <w:t>News Release</w:t>
                      </w:r>
                    </w:p>
                    <w:p w14:paraId="504D70B1" w14:textId="77777777" w:rsidR="004157B6" w:rsidRPr="00F5439B" w:rsidRDefault="004157B6" w:rsidP="00503854">
                      <w:pPr>
                        <w:spacing w:after="0"/>
                        <w:ind w:right="675"/>
                        <w:jc w:val="right"/>
                        <w:rPr>
                          <w:rFonts w:ascii="Arial" w:hAnsi="Arial" w:cs="Arial"/>
                          <w:color w:val="00673E"/>
                          <w:sz w:val="20"/>
                          <w:szCs w:val="20"/>
                        </w:rPr>
                      </w:pPr>
                      <w:r w:rsidRPr="00F5439B">
                        <w:rPr>
                          <w:rFonts w:ascii="Arial" w:hAnsi="Arial" w:cs="Arial"/>
                          <w:color w:val="00673E"/>
                          <w:sz w:val="20"/>
                          <w:szCs w:val="20"/>
                        </w:rPr>
                        <w:t>Contact</w:t>
                      </w:r>
                      <w:r>
                        <w:rPr>
                          <w:rFonts w:ascii="Arial" w:hAnsi="Arial" w:cs="Arial"/>
                          <w:color w:val="00673E"/>
                          <w:sz w:val="20"/>
                          <w:szCs w:val="20"/>
                        </w:rPr>
                        <w:t xml:space="preserve">: </w:t>
                      </w:r>
                      <w:r w:rsidR="000D4D85">
                        <w:rPr>
                          <w:rFonts w:ascii="Arial" w:hAnsi="Arial" w:cs="Arial"/>
                          <w:color w:val="00673E"/>
                          <w:sz w:val="20"/>
                          <w:szCs w:val="20"/>
                        </w:rPr>
                        <w:t>Susan M. Kurz</w:t>
                      </w:r>
                    </w:p>
                    <w:p w14:paraId="45E91D7A" w14:textId="22A449AC" w:rsidR="004157B6" w:rsidRPr="00F5439B" w:rsidRDefault="004157B6" w:rsidP="00503854">
                      <w:pPr>
                        <w:spacing w:after="0"/>
                        <w:ind w:right="675" w:firstLine="720"/>
                        <w:jc w:val="right"/>
                        <w:rPr>
                          <w:rFonts w:ascii="Arial" w:hAnsi="Arial" w:cs="Arial"/>
                          <w:color w:val="00673E"/>
                          <w:sz w:val="20"/>
                          <w:szCs w:val="20"/>
                        </w:rPr>
                      </w:pPr>
                      <w:r>
                        <w:rPr>
                          <w:rFonts w:ascii="Arial" w:hAnsi="Arial" w:cs="Arial"/>
                          <w:color w:val="00673E"/>
                          <w:sz w:val="20"/>
                          <w:szCs w:val="20"/>
                        </w:rPr>
                        <w:t xml:space="preserve"> </w:t>
                      </w:r>
                      <w:r w:rsidR="000D4D85">
                        <w:rPr>
                          <w:rFonts w:ascii="Arial" w:hAnsi="Arial" w:cs="Arial"/>
                          <w:color w:val="00673E"/>
                          <w:sz w:val="20"/>
                          <w:szCs w:val="20"/>
                        </w:rPr>
                        <w:t>216.622.8346</w:t>
                      </w:r>
                      <w:r>
                        <w:rPr>
                          <w:rFonts w:ascii="Arial" w:hAnsi="Arial" w:cs="Arial"/>
                          <w:color w:val="00673E"/>
                          <w:sz w:val="20"/>
                          <w:szCs w:val="20"/>
                        </w:rPr>
                        <w:t xml:space="preserve"> </w:t>
                      </w:r>
                      <w:bookmarkStart w:id="1" w:name="_GoBack"/>
                      <w:bookmarkEnd w:id="1"/>
                    </w:p>
                    <w:p w14:paraId="368E6DAE" w14:textId="012CBD9D" w:rsidR="004157B6" w:rsidRPr="00F5439B" w:rsidRDefault="000D4D85" w:rsidP="00503854">
                      <w:pPr>
                        <w:spacing w:after="0"/>
                        <w:ind w:right="675" w:firstLine="720"/>
                        <w:jc w:val="right"/>
                        <w:rPr>
                          <w:rFonts w:ascii="Arial" w:hAnsi="Arial" w:cs="Arial"/>
                          <w:color w:val="00673E"/>
                          <w:sz w:val="20"/>
                          <w:szCs w:val="20"/>
                        </w:rPr>
                      </w:pPr>
                      <w:r>
                        <w:rPr>
                          <w:rFonts w:ascii="Arial" w:hAnsi="Arial" w:cs="Arial"/>
                          <w:color w:val="00673E"/>
                          <w:sz w:val="20"/>
                          <w:szCs w:val="20"/>
                        </w:rPr>
                        <w:t>skurz</w:t>
                      </w:r>
                      <w:r w:rsidR="004157B6" w:rsidRPr="00F5439B">
                        <w:rPr>
                          <w:rFonts w:ascii="Arial" w:hAnsi="Arial" w:cs="Arial"/>
                          <w:color w:val="00673E"/>
                          <w:sz w:val="20"/>
                          <w:szCs w:val="20"/>
                        </w:rPr>
                        <w:t>@calfee.com</w:t>
                      </w:r>
                    </w:p>
                    <w:p w14:paraId="11127066" w14:textId="77777777" w:rsidR="004157B6" w:rsidRPr="0016195E" w:rsidRDefault="004157B6" w:rsidP="00503854">
                      <w:pPr>
                        <w:spacing w:after="0"/>
                        <w:ind w:right="675"/>
                        <w:jc w:val="left"/>
                        <w:rPr>
                          <w:color w:val="4F6228"/>
                          <w:sz w:val="20"/>
                          <w:szCs w:val="20"/>
                        </w:rPr>
                      </w:pPr>
                    </w:p>
                    <w:p w14:paraId="0B6EB7C6" w14:textId="77777777" w:rsidR="004157B6" w:rsidRPr="0016195E" w:rsidRDefault="004157B6" w:rsidP="00503854">
                      <w:pPr>
                        <w:spacing w:after="0"/>
                        <w:ind w:right="675"/>
                        <w:jc w:val="right"/>
                        <w:rPr>
                          <w:color w:val="4F6228"/>
                          <w:sz w:val="20"/>
                          <w:szCs w:val="20"/>
                        </w:rPr>
                      </w:pPr>
                    </w:p>
                    <w:p w14:paraId="318CDBAE" w14:textId="77777777" w:rsidR="004157B6" w:rsidRDefault="004157B6" w:rsidP="00503854">
                      <w:pPr>
                        <w:spacing w:after="0"/>
                        <w:ind w:right="675"/>
                      </w:pPr>
                    </w:p>
                  </w:txbxContent>
                </v:textbox>
                <w10:wrap anchorx="margin"/>
              </v:shape>
            </w:pict>
          </mc:Fallback>
        </mc:AlternateContent>
      </w:r>
    </w:p>
    <w:p w14:paraId="74581313" w14:textId="77777777" w:rsidR="003169E0" w:rsidRDefault="003169E0" w:rsidP="003169E0">
      <w:pPr>
        <w:spacing w:after="0"/>
        <w:jc w:val="center"/>
        <w:rPr>
          <w:rFonts w:ascii="Calibri" w:hAnsi="Calibri" w:cs="Calibri"/>
          <w:b/>
          <w:sz w:val="28"/>
          <w:szCs w:val="28"/>
        </w:rPr>
      </w:pPr>
    </w:p>
    <w:p w14:paraId="71E0C2E0" w14:textId="77777777" w:rsidR="008A5DA5" w:rsidRDefault="000D4D85" w:rsidP="00475686">
      <w:pPr>
        <w:spacing w:before="240" w:after="480"/>
        <w:jc w:val="center"/>
        <w:rPr>
          <w:rFonts w:ascii="Calibri" w:hAnsi="Calibri" w:cs="Calibri"/>
          <w:b/>
          <w:sz w:val="28"/>
          <w:szCs w:val="28"/>
        </w:rPr>
      </w:pPr>
      <w:r>
        <w:rPr>
          <w:rFonts w:ascii="Calibri" w:hAnsi="Calibri" w:cs="Calibri"/>
          <w:b/>
          <w:sz w:val="28"/>
          <w:szCs w:val="28"/>
        </w:rPr>
        <w:t xml:space="preserve">Calfee, Halter &amp; Griswold LLP </w:t>
      </w:r>
      <w:r w:rsidR="00C13580">
        <w:rPr>
          <w:rFonts w:ascii="Calibri" w:hAnsi="Calibri" w:cs="Calibri"/>
          <w:b/>
          <w:sz w:val="28"/>
          <w:szCs w:val="28"/>
        </w:rPr>
        <w:t xml:space="preserve">Files Appeal in New York Court </w:t>
      </w:r>
      <w:r w:rsidR="00D52F00">
        <w:rPr>
          <w:rFonts w:ascii="Calibri" w:hAnsi="Calibri" w:cs="Calibri"/>
          <w:b/>
          <w:sz w:val="28"/>
          <w:szCs w:val="28"/>
        </w:rPr>
        <w:br/>
      </w:r>
      <w:r w:rsidR="00C13580">
        <w:rPr>
          <w:rFonts w:ascii="Calibri" w:hAnsi="Calibri" w:cs="Calibri"/>
          <w:b/>
          <w:sz w:val="28"/>
          <w:szCs w:val="28"/>
        </w:rPr>
        <w:t xml:space="preserve">on Behalf of Asian </w:t>
      </w:r>
      <w:r w:rsidR="006453DB">
        <w:rPr>
          <w:rFonts w:ascii="Calibri" w:hAnsi="Calibri" w:cs="Calibri"/>
          <w:b/>
          <w:sz w:val="28"/>
          <w:szCs w:val="28"/>
        </w:rPr>
        <w:t xml:space="preserve">Vendor </w:t>
      </w:r>
      <w:r w:rsidR="00C13580">
        <w:rPr>
          <w:rFonts w:ascii="Calibri" w:hAnsi="Calibri" w:cs="Calibri"/>
          <w:b/>
          <w:sz w:val="28"/>
          <w:szCs w:val="28"/>
        </w:rPr>
        <w:t>Client in Sears Chapter 11 Bankruptcy Case</w:t>
      </w:r>
      <w:r w:rsidR="00FA4464">
        <w:rPr>
          <w:rFonts w:ascii="Calibri" w:hAnsi="Calibri" w:cs="Calibri"/>
          <w:b/>
          <w:sz w:val="28"/>
          <w:szCs w:val="28"/>
        </w:rPr>
        <w:t>s</w:t>
      </w:r>
    </w:p>
    <w:p w14:paraId="56A0F8B2" w14:textId="415F0610" w:rsidR="00C25AC0" w:rsidRDefault="00C25AC0" w:rsidP="00C25AC0">
      <w:pPr>
        <w:jc w:val="left"/>
        <w:rPr>
          <w:rFonts w:asciiTheme="minorHAnsi" w:hAnsiTheme="minorHAnsi" w:cstheme="minorHAnsi"/>
          <w:sz w:val="22"/>
          <w:szCs w:val="22"/>
        </w:rPr>
      </w:pPr>
      <w:r>
        <w:rPr>
          <w:rFonts w:asciiTheme="minorHAnsi" w:hAnsiTheme="minorHAnsi" w:cstheme="minorHAnsi"/>
          <w:b/>
          <w:sz w:val="22"/>
          <w:szCs w:val="22"/>
        </w:rPr>
        <w:t>NEW YORK</w:t>
      </w:r>
      <w:r w:rsidRPr="00C13580">
        <w:rPr>
          <w:rFonts w:asciiTheme="minorHAnsi" w:hAnsiTheme="minorHAnsi" w:cstheme="minorHAnsi"/>
          <w:b/>
          <w:sz w:val="22"/>
          <w:szCs w:val="22"/>
        </w:rPr>
        <w:t xml:space="preserve">, </w:t>
      </w:r>
      <w:r>
        <w:rPr>
          <w:rFonts w:asciiTheme="minorHAnsi" w:hAnsiTheme="minorHAnsi" w:cstheme="minorHAnsi"/>
          <w:b/>
          <w:sz w:val="22"/>
          <w:szCs w:val="22"/>
        </w:rPr>
        <w:t>December</w:t>
      </w:r>
      <w:r w:rsidRPr="00C13580">
        <w:rPr>
          <w:rFonts w:asciiTheme="minorHAnsi" w:hAnsiTheme="minorHAnsi" w:cstheme="minorHAnsi"/>
          <w:b/>
          <w:sz w:val="22"/>
          <w:szCs w:val="22"/>
        </w:rPr>
        <w:t xml:space="preserve"> </w:t>
      </w:r>
      <w:r w:rsidR="00D12700">
        <w:rPr>
          <w:rFonts w:asciiTheme="minorHAnsi" w:hAnsiTheme="minorHAnsi" w:cstheme="minorHAnsi"/>
          <w:b/>
          <w:sz w:val="22"/>
          <w:szCs w:val="22"/>
        </w:rPr>
        <w:t>6</w:t>
      </w:r>
      <w:r w:rsidRPr="00C13580">
        <w:rPr>
          <w:rFonts w:asciiTheme="minorHAnsi" w:hAnsiTheme="minorHAnsi" w:cstheme="minorHAnsi"/>
          <w:b/>
          <w:sz w:val="22"/>
          <w:szCs w:val="22"/>
        </w:rPr>
        <w:t>, 2019</w:t>
      </w:r>
      <w:r w:rsidRPr="00C13580">
        <w:rPr>
          <w:rFonts w:asciiTheme="minorHAnsi" w:hAnsiTheme="minorHAnsi" w:cstheme="minorHAnsi"/>
          <w:sz w:val="22"/>
          <w:szCs w:val="22"/>
        </w:rPr>
        <w:t xml:space="preserve"> –</w:t>
      </w:r>
      <w:r>
        <w:rPr>
          <w:rFonts w:asciiTheme="minorHAnsi" w:hAnsiTheme="minorHAnsi" w:cstheme="minorHAnsi"/>
          <w:sz w:val="22"/>
          <w:szCs w:val="22"/>
        </w:rPr>
        <w:t xml:space="preserve"> </w:t>
      </w:r>
      <w:hyperlink r:id="rId8" w:history="1">
        <w:r w:rsidRPr="00085619">
          <w:rPr>
            <w:rStyle w:val="Hyperlink"/>
            <w:rFonts w:asciiTheme="minorHAnsi" w:hAnsiTheme="minorHAnsi" w:cstheme="minorHAnsi"/>
            <w:sz w:val="22"/>
            <w:szCs w:val="22"/>
          </w:rPr>
          <w:t>Calfee, Halter &amp; Gr</w:t>
        </w:r>
        <w:r w:rsidRPr="00085619">
          <w:rPr>
            <w:rStyle w:val="Hyperlink"/>
            <w:rFonts w:asciiTheme="minorHAnsi" w:hAnsiTheme="minorHAnsi" w:cstheme="minorHAnsi"/>
            <w:sz w:val="22"/>
            <w:szCs w:val="22"/>
          </w:rPr>
          <w:t>i</w:t>
        </w:r>
        <w:r w:rsidRPr="00085619">
          <w:rPr>
            <w:rStyle w:val="Hyperlink"/>
            <w:rFonts w:asciiTheme="minorHAnsi" w:hAnsiTheme="minorHAnsi" w:cstheme="minorHAnsi"/>
            <w:sz w:val="22"/>
            <w:szCs w:val="22"/>
          </w:rPr>
          <w:t>swold LLP</w:t>
        </w:r>
      </w:hyperlink>
      <w:r w:rsidRPr="00C42C18">
        <w:rPr>
          <w:rStyle w:val="Hyperlink"/>
          <w:rFonts w:asciiTheme="minorHAnsi" w:hAnsiTheme="minorHAnsi" w:cstheme="minorHAnsi"/>
          <w:color w:val="auto"/>
          <w:sz w:val="22"/>
          <w:szCs w:val="22"/>
          <w:u w:val="none"/>
        </w:rPr>
        <w:t>, o</w:t>
      </w:r>
      <w:r w:rsidRPr="00C13580">
        <w:rPr>
          <w:rFonts w:asciiTheme="minorHAnsi" w:hAnsiTheme="minorHAnsi" w:cstheme="minorHAnsi"/>
          <w:sz w:val="22"/>
          <w:szCs w:val="22"/>
        </w:rPr>
        <w:t xml:space="preserve">n behalf of </w:t>
      </w:r>
      <w:r>
        <w:rPr>
          <w:rFonts w:asciiTheme="minorHAnsi" w:hAnsiTheme="minorHAnsi" w:cstheme="minorHAnsi"/>
          <w:sz w:val="22"/>
          <w:szCs w:val="22"/>
        </w:rPr>
        <w:t>a Hong Kong</w:t>
      </w:r>
      <w:r w:rsidRPr="00F3449A">
        <w:rPr>
          <w:rFonts w:asciiTheme="minorHAnsi" w:hAnsiTheme="minorHAnsi" w:cstheme="minorHAnsi"/>
          <w:sz w:val="22"/>
          <w:szCs w:val="22"/>
        </w:rPr>
        <w:t>-based</w:t>
      </w:r>
      <w:r>
        <w:rPr>
          <w:rFonts w:asciiTheme="minorHAnsi" w:hAnsiTheme="minorHAnsi" w:cstheme="minorHAnsi"/>
          <w:sz w:val="22"/>
          <w:szCs w:val="22"/>
        </w:rPr>
        <w:t xml:space="preserve"> </w:t>
      </w:r>
      <w:r w:rsidRPr="00C13580">
        <w:rPr>
          <w:rFonts w:asciiTheme="minorHAnsi" w:hAnsiTheme="minorHAnsi" w:cstheme="minorHAnsi"/>
          <w:sz w:val="22"/>
          <w:szCs w:val="22"/>
        </w:rPr>
        <w:t>client</w:t>
      </w:r>
      <w:r>
        <w:rPr>
          <w:rFonts w:asciiTheme="minorHAnsi" w:hAnsiTheme="minorHAnsi" w:cstheme="minorHAnsi"/>
          <w:sz w:val="22"/>
          <w:szCs w:val="22"/>
        </w:rPr>
        <w:t>,</w:t>
      </w:r>
      <w:r w:rsidRPr="00C13580">
        <w:rPr>
          <w:rFonts w:asciiTheme="minorHAnsi" w:hAnsiTheme="minorHAnsi" w:cstheme="minorHAnsi"/>
          <w:sz w:val="22"/>
          <w:szCs w:val="22"/>
        </w:rPr>
        <w:t xml:space="preserve"> </w:t>
      </w:r>
      <w:r>
        <w:rPr>
          <w:rFonts w:asciiTheme="minorHAnsi" w:hAnsiTheme="minorHAnsi" w:cstheme="minorHAnsi"/>
          <w:sz w:val="22"/>
          <w:szCs w:val="22"/>
        </w:rPr>
        <w:t xml:space="preserve">recently </w:t>
      </w:r>
      <w:r w:rsidRPr="00F3449A">
        <w:rPr>
          <w:rFonts w:asciiTheme="minorHAnsi" w:hAnsiTheme="minorHAnsi" w:cstheme="minorHAnsi"/>
          <w:sz w:val="22"/>
          <w:szCs w:val="22"/>
        </w:rPr>
        <w:t>initiated</w:t>
      </w:r>
      <w:r>
        <w:rPr>
          <w:rFonts w:asciiTheme="minorHAnsi" w:hAnsiTheme="minorHAnsi" w:cstheme="minorHAnsi"/>
          <w:sz w:val="22"/>
          <w:szCs w:val="22"/>
        </w:rPr>
        <w:t xml:space="preserve"> an </w:t>
      </w:r>
      <w:r w:rsidRPr="00C13580">
        <w:rPr>
          <w:rFonts w:asciiTheme="minorHAnsi" w:hAnsiTheme="minorHAnsi" w:cstheme="minorHAnsi"/>
          <w:sz w:val="22"/>
          <w:szCs w:val="22"/>
        </w:rPr>
        <w:t xml:space="preserve">appeal </w:t>
      </w:r>
      <w:r>
        <w:rPr>
          <w:rFonts w:asciiTheme="minorHAnsi" w:hAnsiTheme="minorHAnsi" w:cstheme="minorHAnsi"/>
          <w:sz w:val="22"/>
          <w:szCs w:val="22"/>
        </w:rPr>
        <w:t>from</w:t>
      </w:r>
      <w:r w:rsidRPr="00C13580">
        <w:rPr>
          <w:rFonts w:asciiTheme="minorHAnsi" w:hAnsiTheme="minorHAnsi" w:cstheme="minorHAnsi"/>
          <w:sz w:val="22"/>
          <w:szCs w:val="22"/>
        </w:rPr>
        <w:t xml:space="preserve"> an order entered by the United States Bankruptcy Court </w:t>
      </w:r>
      <w:r w:rsidR="00351F25">
        <w:rPr>
          <w:rFonts w:asciiTheme="minorHAnsi" w:hAnsiTheme="minorHAnsi" w:cstheme="minorHAnsi"/>
          <w:sz w:val="22"/>
          <w:szCs w:val="22"/>
        </w:rPr>
        <w:t>for</w:t>
      </w:r>
      <w:r w:rsidRPr="00C13580">
        <w:rPr>
          <w:rFonts w:asciiTheme="minorHAnsi" w:hAnsiTheme="minorHAnsi" w:cstheme="minorHAnsi"/>
          <w:sz w:val="22"/>
          <w:szCs w:val="22"/>
        </w:rPr>
        <w:t xml:space="preserve"> the Southern District of New York in the </w:t>
      </w:r>
      <w:r>
        <w:rPr>
          <w:rFonts w:asciiTheme="minorHAnsi" w:hAnsiTheme="minorHAnsi" w:cstheme="minorHAnsi"/>
          <w:sz w:val="22"/>
          <w:szCs w:val="22"/>
        </w:rPr>
        <w:t>C</w:t>
      </w:r>
      <w:r w:rsidRPr="00C13580">
        <w:rPr>
          <w:rFonts w:asciiTheme="minorHAnsi" w:hAnsiTheme="minorHAnsi" w:cstheme="minorHAnsi"/>
          <w:sz w:val="22"/>
          <w:szCs w:val="22"/>
        </w:rPr>
        <w:t xml:space="preserve">hapter 11 bankruptcy cases of Sears Holding Corporation and its affiliated debtors. </w:t>
      </w:r>
    </w:p>
    <w:p w14:paraId="78719F19" w14:textId="473686EA" w:rsidR="00C25AC0" w:rsidRDefault="00C25AC0" w:rsidP="00C25AC0">
      <w:pPr>
        <w:jc w:val="left"/>
        <w:rPr>
          <w:rFonts w:asciiTheme="minorHAnsi" w:hAnsiTheme="minorHAnsi" w:cstheme="minorHAnsi"/>
          <w:sz w:val="22"/>
          <w:szCs w:val="22"/>
        </w:rPr>
      </w:pPr>
      <w:r w:rsidRPr="00C13580">
        <w:rPr>
          <w:rFonts w:asciiTheme="minorHAnsi" w:hAnsiTheme="minorHAnsi" w:cstheme="minorHAnsi"/>
          <w:sz w:val="22"/>
          <w:szCs w:val="22"/>
        </w:rPr>
        <w:t>Calfee</w:t>
      </w:r>
      <w:r>
        <w:rPr>
          <w:rFonts w:asciiTheme="minorHAnsi" w:hAnsiTheme="minorHAnsi" w:cstheme="minorHAnsi"/>
          <w:sz w:val="22"/>
          <w:szCs w:val="22"/>
        </w:rPr>
        <w:t xml:space="preserve"> </w:t>
      </w:r>
      <w:r w:rsidR="00351F25">
        <w:rPr>
          <w:rFonts w:asciiTheme="minorHAnsi" w:hAnsiTheme="minorHAnsi" w:cstheme="minorHAnsi"/>
          <w:sz w:val="22"/>
          <w:szCs w:val="22"/>
        </w:rPr>
        <w:t>brought</w:t>
      </w:r>
      <w:r>
        <w:rPr>
          <w:rFonts w:asciiTheme="minorHAnsi" w:hAnsiTheme="minorHAnsi" w:cstheme="minorHAnsi"/>
          <w:sz w:val="22"/>
          <w:szCs w:val="22"/>
        </w:rPr>
        <w:t xml:space="preserve"> the </w:t>
      </w:r>
      <w:r w:rsidRPr="00C13580">
        <w:rPr>
          <w:rFonts w:asciiTheme="minorHAnsi" w:hAnsiTheme="minorHAnsi" w:cstheme="minorHAnsi"/>
          <w:sz w:val="22"/>
          <w:szCs w:val="22"/>
        </w:rPr>
        <w:t xml:space="preserve">appeal to the United States District Court </w:t>
      </w:r>
      <w:r w:rsidR="00351F25">
        <w:rPr>
          <w:rFonts w:asciiTheme="minorHAnsi" w:hAnsiTheme="minorHAnsi" w:cstheme="minorHAnsi"/>
          <w:sz w:val="22"/>
          <w:szCs w:val="22"/>
        </w:rPr>
        <w:t xml:space="preserve">for the Southern District of New York </w:t>
      </w:r>
      <w:r w:rsidRPr="00C13580">
        <w:rPr>
          <w:rFonts w:asciiTheme="minorHAnsi" w:hAnsiTheme="minorHAnsi" w:cstheme="minorHAnsi"/>
          <w:sz w:val="22"/>
          <w:szCs w:val="22"/>
        </w:rPr>
        <w:t xml:space="preserve">to </w:t>
      </w:r>
      <w:r w:rsidR="00B34259">
        <w:rPr>
          <w:rFonts w:asciiTheme="minorHAnsi" w:hAnsiTheme="minorHAnsi" w:cstheme="minorHAnsi"/>
          <w:sz w:val="22"/>
          <w:szCs w:val="22"/>
        </w:rPr>
        <w:t>vindicate</w:t>
      </w:r>
      <w:r w:rsidRPr="00C13580">
        <w:rPr>
          <w:rFonts w:asciiTheme="minorHAnsi" w:hAnsiTheme="minorHAnsi" w:cstheme="minorHAnsi"/>
          <w:sz w:val="22"/>
          <w:szCs w:val="22"/>
        </w:rPr>
        <w:t xml:space="preserve"> the interests of its client, an Asian vendor that </w:t>
      </w:r>
      <w:r w:rsidR="00351F25">
        <w:rPr>
          <w:rFonts w:asciiTheme="minorHAnsi" w:hAnsiTheme="minorHAnsi" w:cstheme="minorHAnsi"/>
          <w:sz w:val="22"/>
          <w:szCs w:val="22"/>
        </w:rPr>
        <w:t xml:space="preserve">physically </w:t>
      </w:r>
      <w:r w:rsidRPr="00C13580">
        <w:rPr>
          <w:rFonts w:asciiTheme="minorHAnsi" w:hAnsiTheme="minorHAnsi" w:cstheme="minorHAnsi"/>
          <w:sz w:val="22"/>
          <w:szCs w:val="22"/>
        </w:rPr>
        <w:t xml:space="preserve">delivered goods to Sears both in the </w:t>
      </w:r>
      <w:r>
        <w:rPr>
          <w:rFonts w:asciiTheme="minorHAnsi" w:hAnsiTheme="minorHAnsi" w:cstheme="minorHAnsi"/>
          <w:sz w:val="22"/>
          <w:szCs w:val="22"/>
        </w:rPr>
        <w:t>20</w:t>
      </w:r>
      <w:r w:rsidRPr="00C13580">
        <w:rPr>
          <w:rFonts w:asciiTheme="minorHAnsi" w:hAnsiTheme="minorHAnsi" w:cstheme="minorHAnsi"/>
          <w:sz w:val="22"/>
          <w:szCs w:val="22"/>
        </w:rPr>
        <w:t xml:space="preserve"> days prior to the bankruptcy filing and after the bankruptcy filing. Under federal bankruptcy law, those claims should be afforded administrative expense priority and must be paid in full under a plan of reorganization. Asian vendors</w:t>
      </w:r>
      <w:r>
        <w:rPr>
          <w:rFonts w:asciiTheme="minorHAnsi" w:hAnsiTheme="minorHAnsi" w:cstheme="minorHAnsi"/>
          <w:sz w:val="22"/>
          <w:szCs w:val="22"/>
        </w:rPr>
        <w:t xml:space="preserve">, </w:t>
      </w:r>
      <w:r w:rsidR="007046D3">
        <w:rPr>
          <w:rFonts w:asciiTheme="minorHAnsi" w:hAnsiTheme="minorHAnsi" w:cstheme="minorHAnsi"/>
          <w:sz w:val="22"/>
          <w:szCs w:val="22"/>
        </w:rPr>
        <w:t>that</w:t>
      </w:r>
      <w:r>
        <w:rPr>
          <w:rFonts w:asciiTheme="minorHAnsi" w:hAnsiTheme="minorHAnsi" w:cstheme="minorHAnsi"/>
          <w:sz w:val="22"/>
          <w:szCs w:val="22"/>
        </w:rPr>
        <w:t xml:space="preserve"> could</w:t>
      </w:r>
      <w:r w:rsidRPr="00C13580">
        <w:rPr>
          <w:rFonts w:asciiTheme="minorHAnsi" w:hAnsiTheme="minorHAnsi" w:cstheme="minorHAnsi"/>
          <w:sz w:val="22"/>
          <w:szCs w:val="22"/>
        </w:rPr>
        <w:t xml:space="preserve"> </w:t>
      </w:r>
      <w:r>
        <w:rPr>
          <w:rFonts w:asciiTheme="minorHAnsi" w:hAnsiTheme="minorHAnsi" w:cstheme="minorHAnsi"/>
          <w:sz w:val="22"/>
          <w:szCs w:val="22"/>
        </w:rPr>
        <w:t xml:space="preserve">have </w:t>
      </w:r>
      <w:r w:rsidRPr="00C13580">
        <w:rPr>
          <w:rFonts w:asciiTheme="minorHAnsi" w:hAnsiTheme="minorHAnsi" w:cstheme="minorHAnsi"/>
          <w:sz w:val="22"/>
          <w:szCs w:val="22"/>
        </w:rPr>
        <w:t>stop</w:t>
      </w:r>
      <w:r>
        <w:rPr>
          <w:rFonts w:asciiTheme="minorHAnsi" w:hAnsiTheme="minorHAnsi" w:cstheme="minorHAnsi"/>
          <w:sz w:val="22"/>
          <w:szCs w:val="22"/>
        </w:rPr>
        <w:t>ped</w:t>
      </w:r>
      <w:r w:rsidRPr="00C13580">
        <w:rPr>
          <w:rFonts w:asciiTheme="minorHAnsi" w:hAnsiTheme="minorHAnsi" w:cstheme="minorHAnsi"/>
          <w:sz w:val="22"/>
          <w:szCs w:val="22"/>
        </w:rPr>
        <w:t xml:space="preserve"> shipments as they cross</w:t>
      </w:r>
      <w:r>
        <w:rPr>
          <w:rFonts w:asciiTheme="minorHAnsi" w:hAnsiTheme="minorHAnsi" w:cstheme="minorHAnsi"/>
          <w:sz w:val="22"/>
          <w:szCs w:val="22"/>
        </w:rPr>
        <w:t>ed</w:t>
      </w:r>
      <w:r w:rsidRPr="00C13580">
        <w:rPr>
          <w:rFonts w:asciiTheme="minorHAnsi" w:hAnsiTheme="minorHAnsi" w:cstheme="minorHAnsi"/>
          <w:sz w:val="22"/>
          <w:szCs w:val="22"/>
        </w:rPr>
        <w:t xml:space="preserve"> the ocean prior to delivery </w:t>
      </w:r>
      <w:r w:rsidR="001A4EBC">
        <w:rPr>
          <w:rFonts w:asciiTheme="minorHAnsi" w:hAnsiTheme="minorHAnsi" w:cstheme="minorHAnsi"/>
          <w:sz w:val="22"/>
          <w:szCs w:val="22"/>
        </w:rPr>
        <w:t xml:space="preserve">to Sears </w:t>
      </w:r>
      <w:r w:rsidRPr="00C13580">
        <w:rPr>
          <w:rFonts w:asciiTheme="minorHAnsi" w:hAnsiTheme="minorHAnsi" w:cstheme="minorHAnsi"/>
          <w:sz w:val="22"/>
          <w:szCs w:val="22"/>
        </w:rPr>
        <w:t>in the U.S.</w:t>
      </w:r>
      <w:r>
        <w:rPr>
          <w:rFonts w:asciiTheme="minorHAnsi" w:hAnsiTheme="minorHAnsi" w:cstheme="minorHAnsi"/>
          <w:sz w:val="22"/>
          <w:szCs w:val="22"/>
        </w:rPr>
        <w:t>,</w:t>
      </w:r>
      <w:r w:rsidRPr="00C13580">
        <w:rPr>
          <w:rFonts w:asciiTheme="minorHAnsi" w:hAnsiTheme="minorHAnsi" w:cstheme="minorHAnsi"/>
          <w:sz w:val="22"/>
          <w:szCs w:val="22"/>
        </w:rPr>
        <w:t xml:space="preserve"> would </w:t>
      </w:r>
      <w:r w:rsidR="001A4EBC">
        <w:rPr>
          <w:rFonts w:asciiTheme="minorHAnsi" w:hAnsiTheme="minorHAnsi" w:cstheme="minorHAnsi"/>
          <w:sz w:val="22"/>
          <w:szCs w:val="22"/>
        </w:rPr>
        <w:t>face grievous harm</w:t>
      </w:r>
      <w:r w:rsidRPr="00C13580">
        <w:rPr>
          <w:rFonts w:asciiTheme="minorHAnsi" w:hAnsiTheme="minorHAnsi" w:cstheme="minorHAnsi"/>
          <w:sz w:val="22"/>
          <w:szCs w:val="22"/>
        </w:rPr>
        <w:t xml:space="preserve"> by the result advocated by Sears and adopted by the bankruptcy court</w:t>
      </w:r>
      <w:r>
        <w:rPr>
          <w:rFonts w:asciiTheme="minorHAnsi" w:hAnsiTheme="minorHAnsi" w:cstheme="minorHAnsi"/>
          <w:sz w:val="22"/>
          <w:szCs w:val="22"/>
        </w:rPr>
        <w:t xml:space="preserve"> </w:t>
      </w:r>
      <w:r w:rsidRPr="00C42C18">
        <w:rPr>
          <w:rFonts w:asciiTheme="minorHAnsi" w:hAnsiTheme="minorHAnsi" w:cstheme="minorHAnsi"/>
          <w:sz w:val="22"/>
          <w:szCs w:val="22"/>
        </w:rPr>
        <w:t>in its recent ruling</w:t>
      </w:r>
      <w:r w:rsidRPr="00C13580">
        <w:rPr>
          <w:rFonts w:asciiTheme="minorHAnsi" w:hAnsiTheme="minorHAnsi" w:cstheme="minorHAnsi"/>
          <w:sz w:val="22"/>
          <w:szCs w:val="22"/>
        </w:rPr>
        <w:t xml:space="preserve">. </w:t>
      </w:r>
    </w:p>
    <w:p w14:paraId="39F18B80" w14:textId="77777777" w:rsidR="00C25AC0" w:rsidRPr="00FA4464" w:rsidRDefault="00C25AC0" w:rsidP="00C25AC0">
      <w:pPr>
        <w:jc w:val="left"/>
        <w:rPr>
          <w:rFonts w:asciiTheme="minorHAnsi" w:hAnsiTheme="minorHAnsi" w:cstheme="minorHAnsi"/>
          <w:sz w:val="22"/>
          <w:szCs w:val="22"/>
        </w:rPr>
      </w:pPr>
      <w:r>
        <w:rPr>
          <w:rFonts w:asciiTheme="minorHAnsi" w:hAnsiTheme="minorHAnsi" w:cstheme="minorHAnsi"/>
          <w:sz w:val="22"/>
          <w:szCs w:val="22"/>
        </w:rPr>
        <w:t xml:space="preserve">Calfee </w:t>
      </w:r>
      <w:hyperlink r:id="rId9" w:history="1">
        <w:r w:rsidRPr="005509F5">
          <w:rPr>
            <w:rStyle w:val="Hyperlink"/>
            <w:rFonts w:asciiTheme="minorHAnsi" w:hAnsiTheme="minorHAnsi" w:cstheme="minorHAnsi"/>
            <w:sz w:val="22"/>
            <w:szCs w:val="22"/>
          </w:rPr>
          <w:t>Business Restr</w:t>
        </w:r>
        <w:r w:rsidRPr="005509F5">
          <w:rPr>
            <w:rStyle w:val="Hyperlink"/>
            <w:rFonts w:asciiTheme="minorHAnsi" w:hAnsiTheme="minorHAnsi" w:cstheme="minorHAnsi"/>
            <w:sz w:val="22"/>
            <w:szCs w:val="22"/>
          </w:rPr>
          <w:t>u</w:t>
        </w:r>
        <w:r w:rsidRPr="005509F5">
          <w:rPr>
            <w:rStyle w:val="Hyperlink"/>
            <w:rFonts w:asciiTheme="minorHAnsi" w:hAnsiTheme="minorHAnsi" w:cstheme="minorHAnsi"/>
            <w:sz w:val="22"/>
            <w:szCs w:val="22"/>
          </w:rPr>
          <w:t>cturing and Insolvency</w:t>
        </w:r>
      </w:hyperlink>
      <w:r>
        <w:rPr>
          <w:rFonts w:asciiTheme="minorHAnsi" w:hAnsiTheme="minorHAnsi" w:cstheme="minorHAnsi"/>
          <w:sz w:val="22"/>
          <w:szCs w:val="22"/>
        </w:rPr>
        <w:t xml:space="preserve"> practice group co-chair and partner, </w:t>
      </w:r>
      <w:hyperlink r:id="rId10" w:history="1">
        <w:r w:rsidRPr="005509F5">
          <w:rPr>
            <w:rStyle w:val="Hyperlink"/>
            <w:rFonts w:asciiTheme="minorHAnsi" w:hAnsiTheme="minorHAnsi" w:cstheme="minorHAnsi"/>
            <w:sz w:val="22"/>
            <w:szCs w:val="22"/>
          </w:rPr>
          <w:t>H. Jeffre</w:t>
        </w:r>
        <w:r w:rsidRPr="005509F5">
          <w:rPr>
            <w:rStyle w:val="Hyperlink"/>
            <w:rFonts w:asciiTheme="minorHAnsi" w:hAnsiTheme="minorHAnsi" w:cstheme="minorHAnsi"/>
            <w:sz w:val="22"/>
            <w:szCs w:val="22"/>
          </w:rPr>
          <w:t>y</w:t>
        </w:r>
        <w:r w:rsidRPr="005509F5">
          <w:rPr>
            <w:rStyle w:val="Hyperlink"/>
            <w:rFonts w:asciiTheme="minorHAnsi" w:hAnsiTheme="minorHAnsi" w:cstheme="minorHAnsi"/>
            <w:sz w:val="22"/>
            <w:szCs w:val="22"/>
          </w:rPr>
          <w:t xml:space="preserve"> Schwartz</w:t>
        </w:r>
      </w:hyperlink>
      <w:r w:rsidRPr="00C13580">
        <w:rPr>
          <w:rFonts w:asciiTheme="minorHAnsi" w:hAnsiTheme="minorHAnsi" w:cstheme="minorHAnsi"/>
          <w:sz w:val="22"/>
          <w:szCs w:val="22"/>
        </w:rPr>
        <w:t xml:space="preserve">, lead counsel for </w:t>
      </w:r>
      <w:r>
        <w:rPr>
          <w:rFonts w:asciiTheme="minorHAnsi" w:hAnsiTheme="minorHAnsi" w:cstheme="minorHAnsi"/>
          <w:sz w:val="22"/>
          <w:szCs w:val="22"/>
        </w:rPr>
        <w:t>the Asian vendor client</w:t>
      </w:r>
      <w:r w:rsidRPr="00C13580">
        <w:rPr>
          <w:rFonts w:asciiTheme="minorHAnsi" w:hAnsiTheme="minorHAnsi" w:cstheme="minorHAnsi"/>
          <w:sz w:val="22"/>
          <w:szCs w:val="22"/>
        </w:rPr>
        <w:t xml:space="preserve">, </w:t>
      </w:r>
      <w:r>
        <w:rPr>
          <w:rFonts w:asciiTheme="minorHAnsi" w:hAnsiTheme="minorHAnsi" w:cstheme="minorHAnsi"/>
          <w:sz w:val="22"/>
          <w:szCs w:val="22"/>
        </w:rPr>
        <w:t>said</w:t>
      </w:r>
      <w:r w:rsidRPr="00C13580">
        <w:rPr>
          <w:rFonts w:asciiTheme="minorHAnsi" w:hAnsiTheme="minorHAnsi" w:cstheme="minorHAnsi"/>
          <w:sz w:val="22"/>
          <w:szCs w:val="22"/>
        </w:rPr>
        <w:t xml:space="preserve"> </w:t>
      </w:r>
      <w:r w:rsidRPr="00FA4464">
        <w:rPr>
          <w:rFonts w:asciiTheme="minorHAnsi" w:hAnsiTheme="minorHAnsi" w:cstheme="minorHAnsi"/>
          <w:sz w:val="22"/>
          <w:szCs w:val="22"/>
        </w:rPr>
        <w:t>“</w:t>
      </w:r>
      <w:r w:rsidR="00005B40">
        <w:rPr>
          <w:rFonts w:asciiTheme="minorHAnsi" w:hAnsiTheme="minorHAnsi" w:cstheme="minorHAnsi"/>
          <w:sz w:val="22"/>
          <w:szCs w:val="22"/>
        </w:rPr>
        <w:t>We believe</w:t>
      </w:r>
      <w:r w:rsidR="001A4EBC">
        <w:rPr>
          <w:rFonts w:asciiTheme="minorHAnsi" w:hAnsiTheme="minorHAnsi" w:cstheme="minorHAnsi"/>
          <w:sz w:val="22"/>
          <w:szCs w:val="22"/>
        </w:rPr>
        <w:t xml:space="preserve"> </w:t>
      </w:r>
      <w:r w:rsidRPr="00FA4464">
        <w:rPr>
          <w:rFonts w:asciiTheme="minorHAnsi" w:hAnsiTheme="minorHAnsi" w:cstheme="minorHAnsi"/>
          <w:sz w:val="22"/>
          <w:szCs w:val="22"/>
        </w:rPr>
        <w:t xml:space="preserve">Congress intended that vendors </w:t>
      </w:r>
      <w:r>
        <w:rPr>
          <w:rFonts w:asciiTheme="minorHAnsi" w:hAnsiTheme="minorHAnsi" w:cstheme="minorHAnsi"/>
          <w:sz w:val="22"/>
          <w:szCs w:val="22"/>
        </w:rPr>
        <w:t>that</w:t>
      </w:r>
      <w:r w:rsidRPr="00FA4464">
        <w:rPr>
          <w:rFonts w:asciiTheme="minorHAnsi" w:hAnsiTheme="minorHAnsi" w:cstheme="minorHAnsi"/>
          <w:sz w:val="22"/>
          <w:szCs w:val="22"/>
        </w:rPr>
        <w:t xml:space="preserve"> deliver goods </w:t>
      </w:r>
      <w:r>
        <w:rPr>
          <w:rFonts w:asciiTheme="minorHAnsi" w:hAnsiTheme="minorHAnsi" w:cstheme="minorHAnsi"/>
          <w:sz w:val="22"/>
          <w:szCs w:val="22"/>
        </w:rPr>
        <w:t xml:space="preserve">so that they are received </w:t>
      </w:r>
      <w:r w:rsidRPr="00FA4464">
        <w:rPr>
          <w:rFonts w:asciiTheme="minorHAnsi" w:hAnsiTheme="minorHAnsi" w:cstheme="minorHAnsi"/>
          <w:sz w:val="22"/>
          <w:szCs w:val="22"/>
        </w:rPr>
        <w:t>both immediately prior to a bankruptcy</w:t>
      </w:r>
      <w:r>
        <w:rPr>
          <w:rFonts w:asciiTheme="minorHAnsi" w:hAnsiTheme="minorHAnsi" w:cstheme="minorHAnsi"/>
          <w:sz w:val="22"/>
          <w:szCs w:val="22"/>
        </w:rPr>
        <w:t xml:space="preserve">, and </w:t>
      </w:r>
      <w:r w:rsidRPr="00FA4464">
        <w:rPr>
          <w:rFonts w:asciiTheme="minorHAnsi" w:hAnsiTheme="minorHAnsi" w:cstheme="minorHAnsi"/>
          <w:sz w:val="22"/>
          <w:szCs w:val="22"/>
        </w:rPr>
        <w:t>on</w:t>
      </w:r>
      <w:r>
        <w:rPr>
          <w:rFonts w:asciiTheme="minorHAnsi" w:hAnsiTheme="minorHAnsi" w:cstheme="minorHAnsi"/>
          <w:sz w:val="22"/>
          <w:szCs w:val="22"/>
        </w:rPr>
        <w:t xml:space="preserve"> </w:t>
      </w:r>
      <w:r w:rsidRPr="00F3449A">
        <w:rPr>
          <w:rFonts w:asciiTheme="minorHAnsi" w:hAnsiTheme="minorHAnsi" w:cstheme="minorHAnsi"/>
          <w:sz w:val="22"/>
          <w:szCs w:val="22"/>
        </w:rPr>
        <w:t>or</w:t>
      </w:r>
      <w:r w:rsidRPr="00FA4464">
        <w:rPr>
          <w:rFonts w:asciiTheme="minorHAnsi" w:hAnsiTheme="minorHAnsi" w:cstheme="minorHAnsi"/>
          <w:sz w:val="22"/>
          <w:szCs w:val="22"/>
        </w:rPr>
        <w:t xml:space="preserve"> after the bankruptcy filing date</w:t>
      </w:r>
      <w:r w:rsidR="00B34259">
        <w:rPr>
          <w:rFonts w:asciiTheme="minorHAnsi" w:hAnsiTheme="minorHAnsi" w:cstheme="minorHAnsi"/>
          <w:sz w:val="22"/>
          <w:szCs w:val="22"/>
        </w:rPr>
        <w:t>,</w:t>
      </w:r>
      <w:r w:rsidRPr="00FA4464">
        <w:rPr>
          <w:rFonts w:asciiTheme="minorHAnsi" w:hAnsiTheme="minorHAnsi" w:cstheme="minorHAnsi"/>
          <w:sz w:val="22"/>
          <w:szCs w:val="22"/>
        </w:rPr>
        <w:t xml:space="preserve"> have their claims </w:t>
      </w:r>
      <w:r>
        <w:rPr>
          <w:rFonts w:asciiTheme="minorHAnsi" w:hAnsiTheme="minorHAnsi" w:cstheme="minorHAnsi"/>
          <w:sz w:val="22"/>
          <w:szCs w:val="22"/>
        </w:rPr>
        <w:t xml:space="preserve">treated similarly and </w:t>
      </w:r>
      <w:r w:rsidRPr="00FA4464">
        <w:rPr>
          <w:rFonts w:asciiTheme="minorHAnsi" w:hAnsiTheme="minorHAnsi" w:cstheme="minorHAnsi"/>
          <w:sz w:val="22"/>
          <w:szCs w:val="22"/>
        </w:rPr>
        <w:t>paid as administrative expens</w:t>
      </w:r>
      <w:r>
        <w:rPr>
          <w:rFonts w:asciiTheme="minorHAnsi" w:hAnsiTheme="minorHAnsi" w:cstheme="minorHAnsi"/>
          <w:sz w:val="22"/>
          <w:szCs w:val="22"/>
        </w:rPr>
        <w:t>es</w:t>
      </w:r>
      <w:r w:rsidRPr="00FA4464">
        <w:rPr>
          <w:rFonts w:asciiTheme="minorHAnsi" w:hAnsiTheme="minorHAnsi" w:cstheme="minorHAnsi"/>
          <w:sz w:val="22"/>
          <w:szCs w:val="22"/>
        </w:rPr>
        <w:t xml:space="preserve">. </w:t>
      </w:r>
      <w:r>
        <w:rPr>
          <w:rFonts w:asciiTheme="minorHAnsi" w:hAnsiTheme="minorHAnsi" w:cstheme="minorHAnsi"/>
          <w:sz w:val="22"/>
          <w:szCs w:val="22"/>
        </w:rPr>
        <w:t>The appeal asserts that b</w:t>
      </w:r>
      <w:r w:rsidRPr="00FA4464">
        <w:rPr>
          <w:rFonts w:asciiTheme="minorHAnsi" w:hAnsiTheme="minorHAnsi" w:cstheme="minorHAnsi"/>
          <w:sz w:val="22"/>
          <w:szCs w:val="22"/>
        </w:rPr>
        <w:t xml:space="preserve">oth Sears and the bankruptcy court </w:t>
      </w:r>
      <w:r w:rsidR="00B34259">
        <w:rPr>
          <w:rFonts w:asciiTheme="minorHAnsi" w:hAnsiTheme="minorHAnsi" w:cstheme="minorHAnsi"/>
          <w:sz w:val="22"/>
          <w:szCs w:val="22"/>
        </w:rPr>
        <w:t>applied</w:t>
      </w:r>
      <w:r w:rsidRPr="00FA4464">
        <w:rPr>
          <w:rFonts w:asciiTheme="minorHAnsi" w:hAnsiTheme="minorHAnsi" w:cstheme="minorHAnsi"/>
          <w:sz w:val="22"/>
          <w:szCs w:val="22"/>
        </w:rPr>
        <w:t xml:space="preserve"> the Bankruptcy Code in a manner that </w:t>
      </w:r>
      <w:r w:rsidR="00005B40">
        <w:rPr>
          <w:rFonts w:asciiTheme="minorHAnsi" w:hAnsiTheme="minorHAnsi" w:cstheme="minorHAnsi"/>
          <w:sz w:val="22"/>
          <w:szCs w:val="22"/>
        </w:rPr>
        <w:t>imposes</w:t>
      </w:r>
      <w:r w:rsidRPr="00FA4464">
        <w:rPr>
          <w:rFonts w:asciiTheme="minorHAnsi" w:hAnsiTheme="minorHAnsi" w:cstheme="minorHAnsi"/>
          <w:sz w:val="22"/>
          <w:szCs w:val="22"/>
        </w:rPr>
        <w:t xml:space="preserve"> disparate treatment of similarly situated </w:t>
      </w:r>
      <w:r w:rsidR="00005B40">
        <w:rPr>
          <w:rFonts w:asciiTheme="minorHAnsi" w:hAnsiTheme="minorHAnsi" w:cstheme="minorHAnsi"/>
          <w:sz w:val="22"/>
          <w:szCs w:val="22"/>
        </w:rPr>
        <w:t>claims</w:t>
      </w:r>
      <w:r w:rsidRPr="00FA4464">
        <w:rPr>
          <w:rFonts w:asciiTheme="minorHAnsi" w:hAnsiTheme="minorHAnsi" w:cstheme="minorHAnsi"/>
          <w:sz w:val="22"/>
          <w:szCs w:val="22"/>
        </w:rPr>
        <w:t xml:space="preserve">.”  </w:t>
      </w:r>
    </w:p>
    <w:p w14:paraId="02818C70" w14:textId="77777777" w:rsidR="00C25AC0" w:rsidRDefault="00C25AC0" w:rsidP="00C25AC0">
      <w:pPr>
        <w:jc w:val="left"/>
        <w:rPr>
          <w:rFonts w:asciiTheme="minorHAnsi" w:hAnsiTheme="minorHAnsi" w:cstheme="minorHAnsi"/>
          <w:sz w:val="22"/>
          <w:szCs w:val="22"/>
        </w:rPr>
      </w:pPr>
      <w:r>
        <w:rPr>
          <w:rFonts w:asciiTheme="minorHAnsi" w:hAnsiTheme="minorHAnsi" w:cstheme="minorHAnsi"/>
          <w:sz w:val="22"/>
          <w:szCs w:val="22"/>
        </w:rPr>
        <w:t>The appeal recites that a</w:t>
      </w:r>
      <w:r w:rsidRPr="00C13580">
        <w:rPr>
          <w:rFonts w:asciiTheme="minorHAnsi" w:hAnsiTheme="minorHAnsi" w:cstheme="minorHAnsi"/>
          <w:sz w:val="22"/>
          <w:szCs w:val="22"/>
        </w:rPr>
        <w:t xml:space="preserve">lthough </w:t>
      </w:r>
      <w:r>
        <w:rPr>
          <w:rFonts w:asciiTheme="minorHAnsi" w:hAnsiTheme="minorHAnsi" w:cstheme="minorHAnsi"/>
          <w:sz w:val="22"/>
          <w:szCs w:val="22"/>
        </w:rPr>
        <w:t xml:space="preserve">at the beginning of the bankruptcy cases </w:t>
      </w:r>
      <w:r w:rsidR="00005B40">
        <w:rPr>
          <w:rFonts w:asciiTheme="minorHAnsi" w:hAnsiTheme="minorHAnsi" w:cstheme="minorHAnsi"/>
          <w:sz w:val="22"/>
          <w:szCs w:val="22"/>
        </w:rPr>
        <w:t>Sears</w:t>
      </w:r>
      <w:r>
        <w:rPr>
          <w:rFonts w:asciiTheme="minorHAnsi" w:hAnsiTheme="minorHAnsi" w:cstheme="minorHAnsi"/>
          <w:sz w:val="22"/>
          <w:szCs w:val="22"/>
        </w:rPr>
        <w:t xml:space="preserve"> </w:t>
      </w:r>
      <w:r w:rsidRPr="00C13580">
        <w:rPr>
          <w:rFonts w:asciiTheme="minorHAnsi" w:hAnsiTheme="minorHAnsi" w:cstheme="minorHAnsi"/>
          <w:sz w:val="22"/>
          <w:szCs w:val="22"/>
        </w:rPr>
        <w:t xml:space="preserve">requested, and the bankruptcy court </w:t>
      </w:r>
      <w:r w:rsidR="002F1ECB" w:rsidRPr="00604A7F">
        <w:rPr>
          <w:rFonts w:asciiTheme="minorHAnsi" w:hAnsiTheme="minorHAnsi" w:cstheme="minorHAnsi"/>
          <w:i/>
          <w:sz w:val="22"/>
          <w:szCs w:val="22"/>
        </w:rPr>
        <w:t xml:space="preserve">expressly </w:t>
      </w:r>
      <w:r w:rsidRPr="00604A7F">
        <w:rPr>
          <w:rFonts w:asciiTheme="minorHAnsi" w:hAnsiTheme="minorHAnsi" w:cstheme="minorHAnsi"/>
          <w:i/>
          <w:sz w:val="22"/>
          <w:szCs w:val="22"/>
        </w:rPr>
        <w:t>granted</w:t>
      </w:r>
      <w:r w:rsidR="003D2B9A">
        <w:rPr>
          <w:rFonts w:asciiTheme="minorHAnsi" w:hAnsiTheme="minorHAnsi" w:cstheme="minorHAnsi"/>
          <w:sz w:val="22"/>
          <w:szCs w:val="22"/>
        </w:rPr>
        <w:t>,</w:t>
      </w:r>
      <w:r>
        <w:rPr>
          <w:rFonts w:asciiTheme="minorHAnsi" w:hAnsiTheme="minorHAnsi" w:cstheme="minorHAnsi"/>
          <w:sz w:val="22"/>
          <w:szCs w:val="22"/>
        </w:rPr>
        <w:t xml:space="preserve"> </w:t>
      </w:r>
      <w:r w:rsidRPr="00C13580">
        <w:rPr>
          <w:rFonts w:asciiTheme="minorHAnsi" w:hAnsiTheme="minorHAnsi" w:cstheme="minorHAnsi"/>
          <w:sz w:val="22"/>
          <w:szCs w:val="22"/>
        </w:rPr>
        <w:t xml:space="preserve">administrative expense priority treatment </w:t>
      </w:r>
      <w:r w:rsidR="003D2B9A">
        <w:rPr>
          <w:rFonts w:asciiTheme="minorHAnsi" w:hAnsiTheme="minorHAnsi" w:cstheme="minorHAnsi"/>
          <w:sz w:val="22"/>
          <w:szCs w:val="22"/>
        </w:rPr>
        <w:t>for</w:t>
      </w:r>
      <w:r w:rsidRPr="00C13580">
        <w:rPr>
          <w:rFonts w:asciiTheme="minorHAnsi" w:hAnsiTheme="minorHAnsi" w:cstheme="minorHAnsi"/>
          <w:sz w:val="22"/>
          <w:szCs w:val="22"/>
        </w:rPr>
        <w:t xml:space="preserve"> vendors </w:t>
      </w:r>
      <w:r>
        <w:rPr>
          <w:rFonts w:asciiTheme="minorHAnsi" w:hAnsiTheme="minorHAnsi" w:cstheme="minorHAnsi"/>
          <w:sz w:val="22"/>
          <w:szCs w:val="22"/>
        </w:rPr>
        <w:t>that</w:t>
      </w:r>
      <w:r w:rsidRPr="00C13580">
        <w:rPr>
          <w:rFonts w:asciiTheme="minorHAnsi" w:hAnsiTheme="minorHAnsi" w:cstheme="minorHAnsi"/>
          <w:sz w:val="22"/>
          <w:szCs w:val="22"/>
        </w:rPr>
        <w:t xml:space="preserve"> delivered goods on account of prepetition orders to Sears </w:t>
      </w:r>
      <w:r>
        <w:rPr>
          <w:rFonts w:asciiTheme="minorHAnsi" w:hAnsiTheme="minorHAnsi" w:cstheme="minorHAnsi"/>
          <w:sz w:val="22"/>
          <w:szCs w:val="22"/>
        </w:rPr>
        <w:t xml:space="preserve">on and </w:t>
      </w:r>
      <w:r w:rsidRPr="00C13580">
        <w:rPr>
          <w:rFonts w:asciiTheme="minorHAnsi" w:hAnsiTheme="minorHAnsi" w:cstheme="minorHAnsi"/>
          <w:sz w:val="22"/>
          <w:szCs w:val="22"/>
        </w:rPr>
        <w:t xml:space="preserve">after the bankruptcy filing date, Sears </w:t>
      </w:r>
      <w:r>
        <w:rPr>
          <w:rFonts w:asciiTheme="minorHAnsi" w:hAnsiTheme="minorHAnsi" w:cstheme="minorHAnsi"/>
          <w:sz w:val="22"/>
          <w:szCs w:val="22"/>
        </w:rPr>
        <w:t xml:space="preserve">subsequently </w:t>
      </w:r>
      <w:r w:rsidRPr="00C13580">
        <w:rPr>
          <w:rFonts w:asciiTheme="minorHAnsi" w:hAnsiTheme="minorHAnsi" w:cstheme="minorHAnsi"/>
          <w:sz w:val="22"/>
          <w:szCs w:val="22"/>
        </w:rPr>
        <w:t xml:space="preserve"> objected to that </w:t>
      </w:r>
      <w:r w:rsidR="00205FA4">
        <w:rPr>
          <w:rFonts w:asciiTheme="minorHAnsi" w:hAnsiTheme="minorHAnsi" w:cstheme="minorHAnsi"/>
          <w:sz w:val="22"/>
          <w:szCs w:val="22"/>
        </w:rPr>
        <w:t xml:space="preserve">very </w:t>
      </w:r>
      <w:r>
        <w:rPr>
          <w:rFonts w:asciiTheme="minorHAnsi" w:hAnsiTheme="minorHAnsi" w:cstheme="minorHAnsi"/>
          <w:sz w:val="22"/>
          <w:szCs w:val="22"/>
        </w:rPr>
        <w:t xml:space="preserve">priority </w:t>
      </w:r>
      <w:r w:rsidRPr="00C13580">
        <w:rPr>
          <w:rFonts w:asciiTheme="minorHAnsi" w:hAnsiTheme="minorHAnsi" w:cstheme="minorHAnsi"/>
          <w:sz w:val="22"/>
          <w:szCs w:val="22"/>
        </w:rPr>
        <w:t>treatment and requested that the bankruptcy court change course a</w:t>
      </w:r>
      <w:r w:rsidR="003D2B9A">
        <w:rPr>
          <w:rFonts w:asciiTheme="minorHAnsi" w:hAnsiTheme="minorHAnsi" w:cstheme="minorHAnsi"/>
          <w:sz w:val="22"/>
          <w:szCs w:val="22"/>
        </w:rPr>
        <w:t>nd treat</w:t>
      </w:r>
      <w:r w:rsidRPr="00C13580">
        <w:rPr>
          <w:rFonts w:asciiTheme="minorHAnsi" w:hAnsiTheme="minorHAnsi" w:cstheme="minorHAnsi"/>
          <w:sz w:val="22"/>
          <w:szCs w:val="22"/>
        </w:rPr>
        <w:t xml:space="preserve"> those claims as general unsecured claims. If Sears </w:t>
      </w:r>
      <w:r w:rsidR="00205FA4">
        <w:rPr>
          <w:rFonts w:asciiTheme="minorHAnsi" w:hAnsiTheme="minorHAnsi" w:cstheme="minorHAnsi"/>
          <w:sz w:val="22"/>
          <w:szCs w:val="22"/>
        </w:rPr>
        <w:t>succeeds in stripping the prior</w:t>
      </w:r>
      <w:r w:rsidR="00B34259">
        <w:rPr>
          <w:rFonts w:asciiTheme="minorHAnsi" w:hAnsiTheme="minorHAnsi" w:cstheme="minorHAnsi"/>
          <w:sz w:val="22"/>
          <w:szCs w:val="22"/>
        </w:rPr>
        <w:t>ity</w:t>
      </w:r>
      <w:r w:rsidR="00205FA4">
        <w:rPr>
          <w:rFonts w:asciiTheme="minorHAnsi" w:hAnsiTheme="minorHAnsi" w:cstheme="minorHAnsi"/>
          <w:sz w:val="22"/>
          <w:szCs w:val="22"/>
        </w:rPr>
        <w:t xml:space="preserve"> from those claims</w:t>
      </w:r>
      <w:r w:rsidRPr="00C13580">
        <w:rPr>
          <w:rFonts w:asciiTheme="minorHAnsi" w:hAnsiTheme="minorHAnsi" w:cstheme="minorHAnsi"/>
          <w:sz w:val="22"/>
          <w:szCs w:val="22"/>
        </w:rPr>
        <w:t>, th</w:t>
      </w:r>
      <w:r w:rsidR="00205FA4">
        <w:rPr>
          <w:rFonts w:asciiTheme="minorHAnsi" w:hAnsiTheme="minorHAnsi" w:cstheme="minorHAnsi"/>
          <w:sz w:val="22"/>
          <w:szCs w:val="22"/>
        </w:rPr>
        <w:t>ey</w:t>
      </w:r>
      <w:r w:rsidR="00B34259">
        <w:rPr>
          <w:rFonts w:asciiTheme="minorHAnsi" w:hAnsiTheme="minorHAnsi" w:cstheme="minorHAnsi"/>
          <w:sz w:val="22"/>
          <w:szCs w:val="22"/>
        </w:rPr>
        <w:t>,</w:t>
      </w:r>
      <w:r w:rsidRPr="00C13580">
        <w:rPr>
          <w:rFonts w:asciiTheme="minorHAnsi" w:hAnsiTheme="minorHAnsi" w:cstheme="minorHAnsi"/>
          <w:sz w:val="22"/>
          <w:szCs w:val="22"/>
        </w:rPr>
        <w:t xml:space="preserve"> </w:t>
      </w:r>
      <w:r w:rsidR="00205FA4">
        <w:rPr>
          <w:rFonts w:asciiTheme="minorHAnsi" w:hAnsiTheme="minorHAnsi" w:cstheme="minorHAnsi"/>
          <w:sz w:val="22"/>
          <w:szCs w:val="22"/>
        </w:rPr>
        <w:t xml:space="preserve">as </w:t>
      </w:r>
      <w:r w:rsidRPr="00C13580">
        <w:rPr>
          <w:rFonts w:asciiTheme="minorHAnsi" w:hAnsiTheme="minorHAnsi" w:cstheme="minorHAnsi"/>
          <w:sz w:val="22"/>
          <w:szCs w:val="22"/>
        </w:rPr>
        <w:t>general unsecured claims</w:t>
      </w:r>
      <w:r w:rsidR="00B34259">
        <w:rPr>
          <w:rFonts w:asciiTheme="minorHAnsi" w:hAnsiTheme="minorHAnsi" w:cstheme="minorHAnsi"/>
          <w:sz w:val="22"/>
          <w:szCs w:val="22"/>
        </w:rPr>
        <w:t>,</w:t>
      </w:r>
      <w:r w:rsidRPr="00C13580">
        <w:rPr>
          <w:rFonts w:asciiTheme="minorHAnsi" w:hAnsiTheme="minorHAnsi" w:cstheme="minorHAnsi"/>
          <w:sz w:val="22"/>
          <w:szCs w:val="22"/>
        </w:rPr>
        <w:t xml:space="preserve"> will likely receive </w:t>
      </w:r>
      <w:r w:rsidRPr="003D2B9A">
        <w:rPr>
          <w:rFonts w:asciiTheme="minorHAnsi" w:hAnsiTheme="minorHAnsi" w:cstheme="minorHAnsi"/>
          <w:i/>
          <w:sz w:val="22"/>
          <w:szCs w:val="22"/>
        </w:rPr>
        <w:t>de minimus</w:t>
      </w:r>
      <w:r w:rsidRPr="00C13580">
        <w:rPr>
          <w:rFonts w:asciiTheme="minorHAnsi" w:hAnsiTheme="minorHAnsi" w:cstheme="minorHAnsi"/>
          <w:sz w:val="22"/>
          <w:szCs w:val="22"/>
        </w:rPr>
        <w:t xml:space="preserve"> recovery in the bankruptcy cases. </w:t>
      </w:r>
    </w:p>
    <w:p w14:paraId="3EF55D7C" w14:textId="77777777" w:rsidR="00C25AC0" w:rsidRDefault="00C25AC0" w:rsidP="00C25AC0">
      <w:pPr>
        <w:jc w:val="left"/>
        <w:rPr>
          <w:rFonts w:asciiTheme="minorHAnsi" w:hAnsiTheme="minorHAnsi" w:cstheme="minorHAnsi"/>
          <w:sz w:val="22"/>
          <w:szCs w:val="22"/>
        </w:rPr>
      </w:pPr>
      <w:r w:rsidRPr="00FA4464">
        <w:rPr>
          <w:rFonts w:asciiTheme="minorHAnsi" w:hAnsiTheme="minorHAnsi" w:cstheme="minorHAnsi"/>
          <w:sz w:val="22"/>
          <w:szCs w:val="22"/>
        </w:rPr>
        <w:t xml:space="preserve">Schwartz </w:t>
      </w:r>
      <w:r>
        <w:rPr>
          <w:rFonts w:asciiTheme="minorHAnsi" w:hAnsiTheme="minorHAnsi" w:cstheme="minorHAnsi"/>
          <w:sz w:val="22"/>
          <w:szCs w:val="22"/>
        </w:rPr>
        <w:t>stated</w:t>
      </w:r>
      <w:r w:rsidRPr="00FA4464">
        <w:rPr>
          <w:rFonts w:asciiTheme="minorHAnsi" w:hAnsiTheme="minorHAnsi" w:cstheme="minorHAnsi"/>
          <w:sz w:val="22"/>
          <w:szCs w:val="22"/>
        </w:rPr>
        <w:t>, “</w:t>
      </w:r>
      <w:r w:rsidR="00205FA4">
        <w:rPr>
          <w:rFonts w:asciiTheme="minorHAnsi" w:hAnsiTheme="minorHAnsi" w:cstheme="minorHAnsi"/>
          <w:sz w:val="22"/>
          <w:szCs w:val="22"/>
        </w:rPr>
        <w:t xml:space="preserve">As the Third Circuit Court of Appeals recently held in </w:t>
      </w:r>
      <w:r w:rsidR="004744BE">
        <w:rPr>
          <w:rFonts w:asciiTheme="minorHAnsi" w:hAnsiTheme="minorHAnsi" w:cstheme="minorHAnsi"/>
          <w:sz w:val="22"/>
          <w:szCs w:val="22"/>
        </w:rPr>
        <w:t>the case of good</w:t>
      </w:r>
      <w:r w:rsidR="00B34259">
        <w:rPr>
          <w:rFonts w:asciiTheme="minorHAnsi" w:hAnsiTheme="minorHAnsi" w:cstheme="minorHAnsi"/>
          <w:sz w:val="22"/>
          <w:szCs w:val="22"/>
        </w:rPr>
        <w:t>s</w:t>
      </w:r>
      <w:r w:rsidR="004744BE">
        <w:rPr>
          <w:rFonts w:asciiTheme="minorHAnsi" w:hAnsiTheme="minorHAnsi" w:cstheme="minorHAnsi"/>
          <w:sz w:val="22"/>
          <w:szCs w:val="22"/>
        </w:rPr>
        <w:t xml:space="preserve"> delivered in the 20 days prior to a bankruptcy case filing, t</w:t>
      </w:r>
      <w:r w:rsidRPr="00FA4464">
        <w:rPr>
          <w:rFonts w:asciiTheme="minorHAnsi" w:hAnsiTheme="minorHAnsi" w:cstheme="minorHAnsi"/>
          <w:sz w:val="22"/>
          <w:szCs w:val="22"/>
        </w:rPr>
        <w:t xml:space="preserve">he date goods </w:t>
      </w:r>
      <w:r>
        <w:rPr>
          <w:rFonts w:asciiTheme="minorHAnsi" w:hAnsiTheme="minorHAnsi" w:cstheme="minorHAnsi"/>
          <w:sz w:val="22"/>
          <w:szCs w:val="22"/>
        </w:rPr>
        <w:t xml:space="preserve">of value </w:t>
      </w:r>
      <w:r w:rsidRPr="00FA4464">
        <w:rPr>
          <w:rFonts w:asciiTheme="minorHAnsi" w:hAnsiTheme="minorHAnsi" w:cstheme="minorHAnsi"/>
          <w:sz w:val="22"/>
          <w:szCs w:val="22"/>
        </w:rPr>
        <w:t>are delivered to</w:t>
      </w:r>
      <w:r>
        <w:rPr>
          <w:rFonts w:asciiTheme="minorHAnsi" w:hAnsiTheme="minorHAnsi" w:cstheme="minorHAnsi"/>
          <w:sz w:val="22"/>
          <w:szCs w:val="22"/>
        </w:rPr>
        <w:t xml:space="preserve">, and physically received by, </w:t>
      </w:r>
      <w:r w:rsidRPr="00FA4464">
        <w:rPr>
          <w:rFonts w:asciiTheme="minorHAnsi" w:hAnsiTheme="minorHAnsi" w:cstheme="minorHAnsi"/>
          <w:sz w:val="22"/>
          <w:szCs w:val="22"/>
        </w:rPr>
        <w:t xml:space="preserve">a </w:t>
      </w:r>
      <w:r w:rsidR="00D32C7A">
        <w:rPr>
          <w:rFonts w:asciiTheme="minorHAnsi" w:hAnsiTheme="minorHAnsi" w:cstheme="minorHAnsi"/>
          <w:sz w:val="22"/>
          <w:szCs w:val="22"/>
        </w:rPr>
        <w:t>customer</w:t>
      </w:r>
      <w:r w:rsidRPr="00FA4464">
        <w:rPr>
          <w:rFonts w:asciiTheme="minorHAnsi" w:hAnsiTheme="minorHAnsi" w:cstheme="minorHAnsi"/>
          <w:sz w:val="22"/>
          <w:szCs w:val="22"/>
        </w:rPr>
        <w:t xml:space="preserve"> in bankruptcy is determinative of the priority of such claims, and the Bankruptcy Code should be read in a manner that harmonizes the subsections granting administrative expense priority and not in a manner that leads to an </w:t>
      </w:r>
      <w:r w:rsidRPr="00E40D86">
        <w:rPr>
          <w:rFonts w:asciiTheme="minorHAnsi" w:hAnsiTheme="minorHAnsi" w:cstheme="minorHAnsi"/>
          <w:sz w:val="22"/>
          <w:szCs w:val="22"/>
        </w:rPr>
        <w:t>absurd</w:t>
      </w:r>
      <w:r w:rsidRPr="00FA4464">
        <w:rPr>
          <w:rFonts w:asciiTheme="minorHAnsi" w:hAnsiTheme="minorHAnsi" w:cstheme="minorHAnsi"/>
          <w:sz w:val="22"/>
          <w:szCs w:val="22"/>
        </w:rPr>
        <w:t xml:space="preserve"> result.”  </w:t>
      </w:r>
    </w:p>
    <w:p w14:paraId="66102BBF" w14:textId="77777777" w:rsidR="00C25AC0" w:rsidRDefault="00C25AC0" w:rsidP="00C25AC0">
      <w:pPr>
        <w:jc w:val="left"/>
        <w:rPr>
          <w:rFonts w:asciiTheme="minorHAnsi" w:hAnsiTheme="minorHAnsi" w:cstheme="minorHAnsi"/>
          <w:sz w:val="22"/>
          <w:szCs w:val="22"/>
        </w:rPr>
      </w:pPr>
      <w:r w:rsidRPr="00FA4464">
        <w:rPr>
          <w:rFonts w:asciiTheme="minorHAnsi" w:hAnsiTheme="minorHAnsi" w:cstheme="minorHAnsi"/>
          <w:sz w:val="22"/>
          <w:szCs w:val="22"/>
        </w:rPr>
        <w:t xml:space="preserve">Clarity on this issue </w:t>
      </w:r>
      <w:r>
        <w:rPr>
          <w:rFonts w:asciiTheme="minorHAnsi" w:hAnsiTheme="minorHAnsi" w:cstheme="minorHAnsi"/>
          <w:sz w:val="22"/>
          <w:szCs w:val="22"/>
        </w:rPr>
        <w:t xml:space="preserve">of claim priority </w:t>
      </w:r>
      <w:r w:rsidRPr="00FA4464">
        <w:rPr>
          <w:rFonts w:asciiTheme="minorHAnsi" w:hAnsiTheme="minorHAnsi" w:cstheme="minorHAnsi"/>
          <w:sz w:val="22"/>
          <w:szCs w:val="22"/>
        </w:rPr>
        <w:t xml:space="preserve">is critical to Asian vendors </w:t>
      </w:r>
      <w:r>
        <w:rPr>
          <w:rFonts w:asciiTheme="minorHAnsi" w:hAnsiTheme="minorHAnsi" w:cstheme="minorHAnsi"/>
          <w:sz w:val="22"/>
          <w:szCs w:val="22"/>
        </w:rPr>
        <w:t>that</w:t>
      </w:r>
      <w:r w:rsidRPr="00FA4464">
        <w:rPr>
          <w:rFonts w:asciiTheme="minorHAnsi" w:hAnsiTheme="minorHAnsi" w:cstheme="minorHAnsi"/>
          <w:sz w:val="22"/>
          <w:szCs w:val="22"/>
        </w:rPr>
        <w:t xml:space="preserve"> ship products from China or other Asian countries weeks or even months before a bankruptcy</w:t>
      </w:r>
      <w:r w:rsidR="00D32C7A">
        <w:rPr>
          <w:rFonts w:asciiTheme="minorHAnsi" w:hAnsiTheme="minorHAnsi" w:cstheme="minorHAnsi"/>
          <w:sz w:val="22"/>
          <w:szCs w:val="22"/>
        </w:rPr>
        <w:t xml:space="preserve"> filing</w:t>
      </w:r>
      <w:r w:rsidRPr="00FA4464">
        <w:rPr>
          <w:rFonts w:asciiTheme="minorHAnsi" w:hAnsiTheme="minorHAnsi" w:cstheme="minorHAnsi"/>
          <w:sz w:val="22"/>
          <w:szCs w:val="22"/>
        </w:rPr>
        <w:t xml:space="preserve"> and </w:t>
      </w:r>
      <w:r w:rsidR="00D32C7A">
        <w:rPr>
          <w:rFonts w:asciiTheme="minorHAnsi" w:hAnsiTheme="minorHAnsi" w:cstheme="minorHAnsi"/>
          <w:sz w:val="22"/>
          <w:szCs w:val="22"/>
        </w:rPr>
        <w:t>typically</w:t>
      </w:r>
      <w:r w:rsidRPr="00FA4464">
        <w:rPr>
          <w:rFonts w:asciiTheme="minorHAnsi" w:hAnsiTheme="minorHAnsi" w:cstheme="minorHAnsi"/>
          <w:sz w:val="22"/>
          <w:szCs w:val="22"/>
        </w:rPr>
        <w:t xml:space="preserve"> would </w:t>
      </w:r>
      <w:r w:rsidR="004744BE">
        <w:rPr>
          <w:rFonts w:asciiTheme="minorHAnsi" w:hAnsiTheme="minorHAnsi" w:cstheme="minorHAnsi"/>
          <w:sz w:val="22"/>
          <w:szCs w:val="22"/>
        </w:rPr>
        <w:t>receive payment</w:t>
      </w:r>
      <w:r w:rsidRPr="00FA4464">
        <w:rPr>
          <w:rFonts w:asciiTheme="minorHAnsi" w:hAnsiTheme="minorHAnsi" w:cstheme="minorHAnsi"/>
          <w:sz w:val="22"/>
          <w:szCs w:val="22"/>
        </w:rPr>
        <w:t xml:space="preserve"> in full in the ordinary course for those goods</w:t>
      </w:r>
      <w:r>
        <w:rPr>
          <w:rFonts w:asciiTheme="minorHAnsi" w:hAnsiTheme="minorHAnsi" w:cstheme="minorHAnsi"/>
          <w:sz w:val="22"/>
          <w:szCs w:val="22"/>
        </w:rPr>
        <w:t xml:space="preserve"> physically</w:t>
      </w:r>
      <w:r w:rsidRPr="00FA4464">
        <w:rPr>
          <w:rFonts w:asciiTheme="minorHAnsi" w:hAnsiTheme="minorHAnsi" w:cstheme="minorHAnsi"/>
          <w:sz w:val="22"/>
          <w:szCs w:val="22"/>
        </w:rPr>
        <w:t xml:space="preserve"> delivered after the bankruptcy filing. If </w:t>
      </w:r>
      <w:r>
        <w:rPr>
          <w:rFonts w:asciiTheme="minorHAnsi" w:hAnsiTheme="minorHAnsi" w:cstheme="minorHAnsi"/>
          <w:sz w:val="22"/>
          <w:szCs w:val="22"/>
        </w:rPr>
        <w:t>Calfee</w:t>
      </w:r>
      <w:r w:rsidR="00543725">
        <w:rPr>
          <w:rFonts w:asciiTheme="minorHAnsi" w:hAnsiTheme="minorHAnsi" w:cstheme="minorHAnsi"/>
          <w:sz w:val="22"/>
          <w:szCs w:val="22"/>
        </w:rPr>
        <w:t>’s client</w:t>
      </w:r>
      <w:r w:rsidR="000B3D4E">
        <w:rPr>
          <w:rFonts w:asciiTheme="minorHAnsi" w:hAnsiTheme="minorHAnsi" w:cstheme="minorHAnsi"/>
          <w:sz w:val="22"/>
          <w:szCs w:val="22"/>
        </w:rPr>
        <w:t xml:space="preserve"> prevails in the appeal, a </w:t>
      </w:r>
      <w:r w:rsidR="00574F36">
        <w:rPr>
          <w:rFonts w:asciiTheme="minorHAnsi" w:hAnsiTheme="minorHAnsi" w:cstheme="minorHAnsi"/>
          <w:sz w:val="22"/>
          <w:szCs w:val="22"/>
        </w:rPr>
        <w:t xml:space="preserve">favorable </w:t>
      </w:r>
      <w:r w:rsidR="000B3D4E">
        <w:rPr>
          <w:rFonts w:asciiTheme="minorHAnsi" w:hAnsiTheme="minorHAnsi" w:cstheme="minorHAnsi"/>
          <w:sz w:val="22"/>
          <w:szCs w:val="22"/>
        </w:rPr>
        <w:t xml:space="preserve">precedent </w:t>
      </w:r>
      <w:r w:rsidR="00543725">
        <w:rPr>
          <w:rFonts w:asciiTheme="minorHAnsi" w:hAnsiTheme="minorHAnsi" w:cstheme="minorHAnsi"/>
          <w:sz w:val="22"/>
          <w:szCs w:val="22"/>
        </w:rPr>
        <w:t xml:space="preserve">would be set </w:t>
      </w:r>
      <w:r w:rsidR="00574F36">
        <w:rPr>
          <w:rFonts w:asciiTheme="minorHAnsi" w:hAnsiTheme="minorHAnsi" w:cstheme="minorHAnsi"/>
          <w:sz w:val="22"/>
          <w:szCs w:val="22"/>
        </w:rPr>
        <w:t xml:space="preserve">for all foreign vendors, including in particular </w:t>
      </w:r>
      <w:r w:rsidR="000B3D4E">
        <w:rPr>
          <w:rFonts w:asciiTheme="minorHAnsi" w:hAnsiTheme="minorHAnsi" w:cstheme="minorHAnsi"/>
          <w:sz w:val="22"/>
          <w:szCs w:val="22"/>
        </w:rPr>
        <w:t>Asian vendors</w:t>
      </w:r>
      <w:r w:rsidR="00574F36">
        <w:rPr>
          <w:rFonts w:asciiTheme="minorHAnsi" w:hAnsiTheme="minorHAnsi" w:cstheme="minorHAnsi"/>
          <w:sz w:val="22"/>
          <w:szCs w:val="22"/>
        </w:rPr>
        <w:t>, by confirming administrative priority on claims for goods</w:t>
      </w:r>
      <w:r w:rsidR="00543725">
        <w:rPr>
          <w:rFonts w:asciiTheme="minorHAnsi" w:hAnsiTheme="minorHAnsi" w:cstheme="minorHAnsi"/>
          <w:sz w:val="22"/>
          <w:szCs w:val="22"/>
        </w:rPr>
        <w:t xml:space="preserve"> physically delivered to </w:t>
      </w:r>
      <w:r w:rsidR="00774977">
        <w:rPr>
          <w:rFonts w:asciiTheme="minorHAnsi" w:hAnsiTheme="minorHAnsi" w:cstheme="minorHAnsi"/>
          <w:sz w:val="22"/>
          <w:szCs w:val="22"/>
        </w:rPr>
        <w:t>customers</w:t>
      </w:r>
      <w:r w:rsidR="00543725">
        <w:rPr>
          <w:rFonts w:asciiTheme="minorHAnsi" w:hAnsiTheme="minorHAnsi" w:cstheme="minorHAnsi"/>
          <w:sz w:val="22"/>
          <w:szCs w:val="22"/>
        </w:rPr>
        <w:t xml:space="preserve"> from </w:t>
      </w:r>
      <w:r w:rsidR="00774977">
        <w:rPr>
          <w:rFonts w:asciiTheme="minorHAnsi" w:hAnsiTheme="minorHAnsi" w:cstheme="minorHAnsi"/>
          <w:sz w:val="22"/>
          <w:szCs w:val="22"/>
        </w:rPr>
        <w:t xml:space="preserve">and after </w:t>
      </w:r>
      <w:r w:rsidR="00543725">
        <w:rPr>
          <w:rFonts w:asciiTheme="minorHAnsi" w:hAnsiTheme="minorHAnsi" w:cstheme="minorHAnsi"/>
          <w:sz w:val="22"/>
          <w:szCs w:val="22"/>
        </w:rPr>
        <w:t xml:space="preserve">20 days preceding </w:t>
      </w:r>
      <w:r w:rsidR="00774977">
        <w:rPr>
          <w:rFonts w:asciiTheme="minorHAnsi" w:hAnsiTheme="minorHAnsi" w:cstheme="minorHAnsi"/>
          <w:sz w:val="22"/>
          <w:szCs w:val="22"/>
        </w:rPr>
        <w:t>a</w:t>
      </w:r>
      <w:r w:rsidR="00543725">
        <w:rPr>
          <w:rFonts w:asciiTheme="minorHAnsi" w:hAnsiTheme="minorHAnsi" w:cstheme="minorHAnsi"/>
          <w:sz w:val="22"/>
          <w:szCs w:val="22"/>
        </w:rPr>
        <w:t xml:space="preserve"> bankruptcy filing date</w:t>
      </w:r>
      <w:r w:rsidRPr="00FA4464">
        <w:rPr>
          <w:rFonts w:asciiTheme="minorHAnsi" w:hAnsiTheme="minorHAnsi" w:cstheme="minorHAnsi"/>
          <w:sz w:val="22"/>
          <w:szCs w:val="22"/>
        </w:rPr>
        <w:t xml:space="preserve">. </w:t>
      </w:r>
    </w:p>
    <w:p w14:paraId="156B3D18" w14:textId="77777777" w:rsidR="00C25AC0" w:rsidRPr="00FA4464" w:rsidRDefault="00C25AC0" w:rsidP="00C25AC0">
      <w:pPr>
        <w:spacing w:after="120"/>
        <w:jc w:val="left"/>
        <w:rPr>
          <w:rFonts w:asciiTheme="minorHAnsi" w:hAnsiTheme="minorHAnsi" w:cstheme="minorHAnsi"/>
          <w:b/>
          <w:sz w:val="22"/>
          <w:szCs w:val="22"/>
        </w:rPr>
      </w:pPr>
      <w:r w:rsidRPr="00FA4464">
        <w:rPr>
          <w:rFonts w:asciiTheme="minorHAnsi" w:hAnsiTheme="minorHAnsi" w:cstheme="minorHAnsi"/>
          <w:b/>
          <w:sz w:val="22"/>
          <w:szCs w:val="22"/>
        </w:rPr>
        <w:lastRenderedPageBreak/>
        <w:t>About Calfee, Halter &amp; Griswold LLP</w:t>
      </w:r>
    </w:p>
    <w:p w14:paraId="4E137B1D" w14:textId="77777777" w:rsidR="00165182" w:rsidRPr="00165182" w:rsidRDefault="00C25AC0" w:rsidP="00C25AC0">
      <w:pPr>
        <w:jc w:val="left"/>
        <w:rPr>
          <w:sz w:val="22"/>
          <w:szCs w:val="22"/>
        </w:rPr>
      </w:pPr>
      <w:r w:rsidRPr="00C13580">
        <w:rPr>
          <w:rFonts w:asciiTheme="minorHAnsi" w:hAnsiTheme="minorHAnsi" w:cstheme="minorHAnsi"/>
          <w:sz w:val="22"/>
          <w:szCs w:val="22"/>
        </w:rPr>
        <w:t xml:space="preserve">Calfee, Halter &amp; Griswold LLP is a full-service corporate law firm with more than 160 attorneys located in offices in Cleveland, Columbus and Cincinnati, Ohio, Indianapolis, New York and Washington, D.C. Calfee has been recognized as a leading law firm by </w:t>
      </w:r>
      <w:hyperlink r:id="rId11" w:history="1">
        <w:r w:rsidRPr="00C13580">
          <w:rPr>
            <w:rStyle w:val="Hyperlink"/>
            <w:rFonts w:asciiTheme="minorHAnsi" w:hAnsiTheme="minorHAnsi" w:cstheme="minorHAnsi"/>
            <w:i/>
            <w:sz w:val="22"/>
            <w:szCs w:val="22"/>
          </w:rPr>
          <w:t>Chamb</w:t>
        </w:r>
        <w:r w:rsidRPr="00C13580">
          <w:rPr>
            <w:rStyle w:val="Hyperlink"/>
            <w:rFonts w:asciiTheme="minorHAnsi" w:hAnsiTheme="minorHAnsi" w:cstheme="minorHAnsi"/>
            <w:i/>
            <w:sz w:val="22"/>
            <w:szCs w:val="22"/>
          </w:rPr>
          <w:t>e</w:t>
        </w:r>
        <w:r w:rsidRPr="00C13580">
          <w:rPr>
            <w:rStyle w:val="Hyperlink"/>
            <w:rFonts w:asciiTheme="minorHAnsi" w:hAnsiTheme="minorHAnsi" w:cstheme="minorHAnsi"/>
            <w:i/>
            <w:sz w:val="22"/>
            <w:szCs w:val="22"/>
          </w:rPr>
          <w:t>rs USA</w:t>
        </w:r>
      </w:hyperlink>
      <w:r w:rsidRPr="00C13580">
        <w:rPr>
          <w:rFonts w:asciiTheme="minorHAnsi" w:hAnsiTheme="minorHAnsi" w:cstheme="minorHAnsi"/>
          <w:sz w:val="22"/>
          <w:szCs w:val="22"/>
        </w:rPr>
        <w:t xml:space="preserve"> in Banking and Finance, Corporate/M&amp;A, Employee Benefits and Executive Compensation, General Commercial Litigation, Intellectual Property, Labor and Employment, and Real Estate and by </w:t>
      </w:r>
      <w:hyperlink r:id="rId12" w:history="1">
        <w:r w:rsidRPr="00C13580">
          <w:rPr>
            <w:rStyle w:val="Hyperlink"/>
            <w:rFonts w:asciiTheme="minorHAnsi" w:hAnsiTheme="minorHAnsi" w:cstheme="minorHAnsi"/>
            <w:i/>
            <w:sz w:val="22"/>
            <w:szCs w:val="22"/>
          </w:rPr>
          <w:t>Cham</w:t>
        </w:r>
        <w:r w:rsidRPr="00C13580">
          <w:rPr>
            <w:rStyle w:val="Hyperlink"/>
            <w:rFonts w:asciiTheme="minorHAnsi" w:hAnsiTheme="minorHAnsi" w:cstheme="minorHAnsi"/>
            <w:i/>
            <w:sz w:val="22"/>
            <w:szCs w:val="22"/>
          </w:rPr>
          <w:t>b</w:t>
        </w:r>
        <w:r w:rsidRPr="00C13580">
          <w:rPr>
            <w:rStyle w:val="Hyperlink"/>
            <w:rFonts w:asciiTheme="minorHAnsi" w:hAnsiTheme="minorHAnsi" w:cstheme="minorHAnsi"/>
            <w:i/>
            <w:sz w:val="22"/>
            <w:szCs w:val="22"/>
          </w:rPr>
          <w:t>ers HNW</w:t>
        </w:r>
      </w:hyperlink>
      <w:r w:rsidRPr="00C13580">
        <w:rPr>
          <w:rFonts w:asciiTheme="minorHAnsi" w:hAnsiTheme="minorHAnsi" w:cstheme="minorHAnsi"/>
          <w:sz w:val="22"/>
          <w:szCs w:val="22"/>
        </w:rPr>
        <w:t xml:space="preserve"> in Private Wealth Law. The firm serves clients in the Midwest, nationally and globally in the areas of Business Restructuring and Insolvency, Commercial and Public Finance, Corporate and Capital Markets, Employee Benefits and Executive Compensation, Estate and Succession Planning and Administration, Government Relations and Legislation, Intellectual Property, Labor and Employment, Litigation, Public Utility Regulatory, and Real Estate as well as through its consultancies, Calfee Strategic Solutions and Calfee Zoning. A founding member of </w:t>
      </w:r>
      <w:hyperlink r:id="rId13" w:history="1">
        <w:r w:rsidRPr="00C13580">
          <w:rPr>
            <w:rStyle w:val="Hyperlink"/>
            <w:rFonts w:asciiTheme="minorHAnsi" w:hAnsiTheme="minorHAnsi" w:cstheme="minorHAnsi"/>
            <w:sz w:val="22"/>
            <w:szCs w:val="22"/>
          </w:rPr>
          <w:t>Lex M</w:t>
        </w:r>
        <w:r w:rsidRPr="00C13580">
          <w:rPr>
            <w:rStyle w:val="Hyperlink"/>
            <w:rFonts w:asciiTheme="minorHAnsi" w:hAnsiTheme="minorHAnsi" w:cstheme="minorHAnsi"/>
            <w:sz w:val="22"/>
            <w:szCs w:val="22"/>
          </w:rPr>
          <w:t>u</w:t>
        </w:r>
        <w:r w:rsidRPr="00C13580">
          <w:rPr>
            <w:rStyle w:val="Hyperlink"/>
            <w:rFonts w:asciiTheme="minorHAnsi" w:hAnsiTheme="minorHAnsi" w:cstheme="minorHAnsi"/>
            <w:sz w:val="22"/>
            <w:szCs w:val="22"/>
          </w:rPr>
          <w:t>ndi</w:t>
        </w:r>
      </w:hyperlink>
      <w:r w:rsidRPr="00C13580">
        <w:rPr>
          <w:rFonts w:asciiTheme="minorHAnsi" w:hAnsiTheme="minorHAnsi" w:cstheme="minorHAnsi"/>
          <w:sz w:val="22"/>
          <w:szCs w:val="22"/>
        </w:rPr>
        <w:t xml:space="preserve">, Calfee offers international representation through a network of independent law firms with access to 21,000 attorneys located in more than 100 countries. Additional information is available at </w:t>
      </w:r>
      <w:hyperlink r:id="rId14" w:history="1">
        <w:r w:rsidRPr="00C13580">
          <w:rPr>
            <w:rStyle w:val="Hyperlink"/>
            <w:rFonts w:asciiTheme="minorHAnsi" w:hAnsiTheme="minorHAnsi" w:cstheme="minorHAnsi"/>
            <w:sz w:val="22"/>
            <w:szCs w:val="22"/>
          </w:rPr>
          <w:t>Calfe</w:t>
        </w:r>
        <w:r w:rsidRPr="00C13580">
          <w:rPr>
            <w:rStyle w:val="Hyperlink"/>
            <w:rFonts w:asciiTheme="minorHAnsi" w:hAnsiTheme="minorHAnsi" w:cstheme="minorHAnsi"/>
            <w:sz w:val="22"/>
            <w:szCs w:val="22"/>
          </w:rPr>
          <w:t>e</w:t>
        </w:r>
        <w:r w:rsidRPr="00C13580">
          <w:rPr>
            <w:rStyle w:val="Hyperlink"/>
            <w:rFonts w:asciiTheme="minorHAnsi" w:hAnsiTheme="minorHAnsi" w:cstheme="minorHAnsi"/>
            <w:sz w:val="22"/>
            <w:szCs w:val="22"/>
          </w:rPr>
          <w:t>.com</w:t>
        </w:r>
      </w:hyperlink>
      <w:r w:rsidRPr="00C13580">
        <w:rPr>
          <w:rFonts w:asciiTheme="minorHAnsi" w:hAnsiTheme="minorHAnsi" w:cstheme="minorHAnsi"/>
          <w:sz w:val="22"/>
          <w:szCs w:val="22"/>
        </w:rPr>
        <w:t>.</w:t>
      </w:r>
    </w:p>
    <w:p w14:paraId="5C66E69E" w14:textId="77777777" w:rsidR="00110477" w:rsidRPr="00F964C1" w:rsidRDefault="00F964C1" w:rsidP="00F964C1">
      <w:pPr>
        <w:jc w:val="center"/>
        <w:rPr>
          <w:i/>
          <w:sz w:val="22"/>
          <w:szCs w:val="22"/>
        </w:rPr>
      </w:pPr>
      <w:r>
        <w:rPr>
          <w:i/>
          <w:sz w:val="22"/>
          <w:szCs w:val="22"/>
        </w:rPr>
        <w:t>###</w:t>
      </w:r>
    </w:p>
    <w:sectPr w:rsidR="00110477" w:rsidRPr="00F964C1" w:rsidSect="00745F03">
      <w:headerReference w:type="even" r:id="rId15"/>
      <w:headerReference w:type="default" r:id="rId16"/>
      <w:footerReference w:type="even" r:id="rId17"/>
      <w:footerReference w:type="default" r:id="rId18"/>
      <w:headerReference w:type="first" r:id="rId19"/>
      <w:footerReference w:type="first" r:id="rId2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DFFA8" w14:textId="77777777" w:rsidR="007D3736" w:rsidRDefault="007D3736" w:rsidP="00DD6F7E">
      <w:pPr>
        <w:spacing w:after="0"/>
      </w:pPr>
      <w:r>
        <w:separator/>
      </w:r>
    </w:p>
  </w:endnote>
  <w:endnote w:type="continuationSeparator" w:id="0">
    <w:p w14:paraId="54394FC7" w14:textId="77777777" w:rsidR="007D3736" w:rsidRDefault="007D3736" w:rsidP="00DD6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E5A4" w14:textId="77777777" w:rsidR="004157B6" w:rsidRDefault="004157B6">
    <w:pPr>
      <w:pStyle w:val="Footer"/>
    </w:pPr>
  </w:p>
  <w:p w14:paraId="4AD76A44" w14:textId="77777777" w:rsidR="00962873" w:rsidRDefault="00962873">
    <w:pPr>
      <w:pStyle w:val="Footer"/>
      <w:rPr>
        <w:rFonts w:ascii="Arial" w:hAnsi="Arial" w:cs="Arial"/>
        <w:sz w:val="16"/>
      </w:rPr>
    </w:pPr>
  </w:p>
  <w:p w14:paraId="45149A8E" w14:textId="77777777" w:rsidR="007B1B09" w:rsidRPr="007B1B09" w:rsidRDefault="007B1B09" w:rsidP="007B1B09">
    <w:pPr>
      <w:pStyle w:val="Footer"/>
      <w:rPr>
        <w:rFonts w:ascii="Arial" w:hAnsi="Arial" w:cs="Arial"/>
        <w:sz w:val="16"/>
      </w:rPr>
    </w:pPr>
    <w:r>
      <w:rPr>
        <w:rFonts w:ascii="Arial" w:hAnsi="Arial" w:cs="Arial"/>
        <w:sz w:val="16"/>
      </w:rPr>
      <w:fldChar w:fldCharType="begin" w:fldLock="1"/>
    </w:r>
    <w:r>
      <w:rPr>
        <w:rFonts w:ascii="Arial" w:hAnsi="Arial" w:cs="Arial"/>
        <w:sz w:val="16"/>
      </w:rPr>
      <w:instrText xml:space="preserve"> DOCVARIABLE  ndGeneratedStamp </w:instrText>
    </w:r>
    <w:r>
      <w:rPr>
        <w:rFonts w:ascii="Arial" w:hAnsi="Arial" w:cs="Arial"/>
        <w:sz w:val="16"/>
      </w:rPr>
      <w:fldChar w:fldCharType="separate"/>
    </w:r>
    <w:r w:rsidR="00A35047">
      <w:rPr>
        <w:rFonts w:ascii="Arial" w:hAnsi="Arial" w:cs="Arial"/>
        <w:sz w:val="16"/>
      </w:rPr>
      <w:t>4851-2155-4350, v.1</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EA9B" w14:textId="77777777" w:rsidR="00EB1920" w:rsidRDefault="00EB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0F93" w14:textId="77777777" w:rsidR="004157B6" w:rsidRDefault="004157B6">
    <w:pPr>
      <w:pStyle w:val="Footer"/>
    </w:pPr>
  </w:p>
  <w:p w14:paraId="4F8151EB" w14:textId="77777777" w:rsidR="00962873" w:rsidRPr="00962873" w:rsidRDefault="00962873" w:rsidP="00962873">
    <w:pPr>
      <w:pStyle w:val="Footer"/>
      <w:rPr>
        <w:rFonts w:ascii="Arial" w:hAnsi="Arial" w:cs="Arial"/>
        <w:sz w:val="16"/>
      </w:rPr>
    </w:pPr>
    <w:r>
      <w:rPr>
        <w:rFonts w:ascii="Arial" w:hAnsi="Arial" w:cs="Arial"/>
        <w:sz w:val="16"/>
      </w:rPr>
      <w:fldChar w:fldCharType="begin" w:fldLock="1"/>
    </w:r>
    <w:r>
      <w:rPr>
        <w:rFonts w:ascii="Arial" w:hAnsi="Arial" w:cs="Arial"/>
        <w:sz w:val="16"/>
      </w:rPr>
      <w:instrText xml:space="preserve"> DOCVARIABLE  ndGeneratedStamp </w:instrText>
    </w:r>
    <w:r>
      <w:rPr>
        <w:rFonts w:ascii="Arial" w:hAnsi="Arial" w:cs="Arial"/>
        <w:sz w:val="16"/>
      </w:rPr>
      <w:fldChar w:fldCharType="separate"/>
    </w:r>
    <w:r w:rsidR="00A35047">
      <w:rPr>
        <w:rFonts w:ascii="Arial" w:hAnsi="Arial" w:cs="Arial"/>
        <w:sz w:val="16"/>
      </w:rPr>
      <w:t>4851-2155-4350, v.1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DE1F2" w14:textId="77777777" w:rsidR="007D3736" w:rsidRDefault="007D3736" w:rsidP="00DD6F7E">
      <w:pPr>
        <w:spacing w:after="0"/>
      </w:pPr>
      <w:r>
        <w:separator/>
      </w:r>
    </w:p>
  </w:footnote>
  <w:footnote w:type="continuationSeparator" w:id="0">
    <w:p w14:paraId="337B0BC7" w14:textId="77777777" w:rsidR="007D3736" w:rsidRDefault="007D3736" w:rsidP="00DD6F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4220" w14:textId="77777777" w:rsidR="00EB1920" w:rsidRDefault="00EB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90BF" w14:textId="77777777" w:rsidR="007A5968" w:rsidRDefault="004157B6">
    <w:pPr>
      <w:pStyle w:val="Header"/>
    </w:pPr>
    <w:r>
      <w:rPr>
        <w:b/>
        <w:noProof/>
      </w:rPr>
      <w:drawing>
        <wp:inline distT="0" distB="0" distL="0" distR="0" wp14:anchorId="39FCCA41" wp14:editId="31E7E06E">
          <wp:extent cx="1400175" cy="37832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fee Primary_Green_HiRes_JPG122018.jpg"/>
                  <pic:cNvPicPr/>
                </pic:nvPicPr>
                <pic:blipFill>
                  <a:blip r:embed="rId1">
                    <a:extLst>
                      <a:ext uri="{28A0092B-C50C-407E-A947-70E740481C1C}">
                        <a14:useLocalDpi xmlns:a14="http://schemas.microsoft.com/office/drawing/2010/main" val="0"/>
                      </a:ext>
                    </a:extLst>
                  </a:blip>
                  <a:stretch>
                    <a:fillRect/>
                  </a:stretch>
                </pic:blipFill>
                <pic:spPr>
                  <a:xfrm>
                    <a:off x="0" y="0"/>
                    <a:ext cx="1563575" cy="422478"/>
                  </a:xfrm>
                  <a:prstGeom prst="rect">
                    <a:avLst/>
                  </a:prstGeom>
                </pic:spPr>
              </pic:pic>
            </a:graphicData>
          </a:graphic>
        </wp:inline>
      </w:drawing>
    </w:r>
  </w:p>
  <w:p w14:paraId="20FDB1C7" w14:textId="77777777" w:rsidR="004157B6" w:rsidRDefault="00415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1E0A" w14:textId="77777777" w:rsidR="00EB1920" w:rsidRDefault="00EB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7A59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8451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D871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6816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8475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302F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CA11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1C87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F4F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2EF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F1AEE"/>
    <w:multiLevelType w:val="multilevel"/>
    <w:tmpl w:val="F448FA2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1440"/>
      </w:pPr>
      <w:rPr>
        <w:rFonts w:hint="default"/>
      </w:rPr>
    </w:lvl>
    <w:lvl w:ilvl="2">
      <w:start w:val="1"/>
      <w:numFmt w:val="lowerLetter"/>
      <w:suff w:val="nothing"/>
      <w:lvlText w:val="(%3)"/>
      <w:lvlJc w:val="left"/>
      <w:pPr>
        <w:ind w:left="2880" w:hanging="720"/>
      </w:pPr>
      <w:rPr>
        <w:rFonts w:hint="default"/>
      </w:rPr>
    </w:lvl>
    <w:lvl w:ilvl="3">
      <w:start w:val="1"/>
      <w:numFmt w:val="decimal"/>
      <w:suff w:val="nothing"/>
      <w:lvlText w:val="(%4)"/>
      <w:lvlJc w:val="left"/>
      <w:pPr>
        <w:ind w:left="3600" w:hanging="720"/>
      </w:pPr>
      <w:rPr>
        <w:rFonts w:hint="default"/>
      </w:rPr>
    </w:lvl>
    <w:lvl w:ilvl="4">
      <w:start w:val="1"/>
      <w:numFmt w:val="upperLetter"/>
      <w:suff w:val="nothing"/>
      <w:lvlText w:val="(%5)"/>
      <w:lvlJc w:val="left"/>
      <w:pPr>
        <w:ind w:left="4320" w:hanging="720"/>
      </w:pPr>
      <w:rPr>
        <w:rFonts w:hint="default"/>
      </w:rPr>
    </w:lvl>
    <w:lvl w:ilvl="5">
      <w:start w:val="1"/>
      <w:numFmt w:val="decimal"/>
      <w:suff w:val="nothing"/>
      <w:lvlText w:val="%6)"/>
      <w:lvlJc w:val="left"/>
      <w:pPr>
        <w:ind w:left="5040" w:hanging="720"/>
      </w:pPr>
      <w:rPr>
        <w:rFonts w:hint="default"/>
      </w:rPr>
    </w:lvl>
    <w:lvl w:ilvl="6">
      <w:start w:val="1"/>
      <w:numFmt w:val="lowerLetter"/>
      <w:suff w:val="nothing"/>
      <w:lvlText w:val="%7."/>
      <w:lvlJc w:val="left"/>
      <w:pPr>
        <w:ind w:left="5760" w:hanging="720"/>
      </w:pPr>
      <w:rPr>
        <w:rFonts w:hint="default"/>
      </w:rPr>
    </w:lvl>
    <w:lvl w:ilvl="7">
      <w:start w:val="1"/>
      <w:numFmt w:val="decimal"/>
      <w:suff w:val="nothing"/>
      <w:lvlText w:val="%8."/>
      <w:lvlJc w:val="left"/>
      <w:pPr>
        <w:ind w:left="6480" w:hanging="720"/>
      </w:pPr>
      <w:rPr>
        <w:rFonts w:hint="default"/>
      </w:rPr>
    </w:lvl>
    <w:lvl w:ilvl="8">
      <w:start w:val="1"/>
      <w:numFmt w:val="decimal"/>
      <w:suff w:val="nothing"/>
      <w:lvlText w:val="%1.%2.%3.%4.%5.%6.%7.%8.%9."/>
      <w:lvlJc w:val="left"/>
      <w:pPr>
        <w:ind w:left="4320" w:hanging="1440"/>
      </w:pPr>
      <w:rPr>
        <w:rFonts w:hint="default"/>
      </w:rPr>
    </w:lvl>
  </w:abstractNum>
  <w:abstractNum w:abstractNumId="11" w15:restartNumberingAfterBreak="0">
    <w:nsid w:val="15AD52D8"/>
    <w:multiLevelType w:val="hybridMultilevel"/>
    <w:tmpl w:val="90DCAA60"/>
    <w:lvl w:ilvl="0" w:tplc="0302CF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27673"/>
    <w:multiLevelType w:val="hybridMultilevel"/>
    <w:tmpl w:val="D114ABFA"/>
    <w:lvl w:ilvl="0" w:tplc="0F00C26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C1847"/>
    <w:multiLevelType w:val="hybridMultilevel"/>
    <w:tmpl w:val="2A987C00"/>
    <w:lvl w:ilvl="0" w:tplc="AFDE61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976EB"/>
    <w:multiLevelType w:val="multilevel"/>
    <w:tmpl w:val="92C873E0"/>
    <w:numStyleLink w:val="CalfeeListStyles"/>
  </w:abstractNum>
  <w:abstractNum w:abstractNumId="15" w15:restartNumberingAfterBreak="0">
    <w:nsid w:val="389D2F92"/>
    <w:multiLevelType w:val="hybridMultilevel"/>
    <w:tmpl w:val="83500E0E"/>
    <w:lvl w:ilvl="0" w:tplc="D22C74B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76258"/>
    <w:multiLevelType w:val="multilevel"/>
    <w:tmpl w:val="92C873E0"/>
    <w:styleLink w:val="CalfeeListStyles"/>
    <w:lvl w:ilvl="0">
      <w:start w:val="1"/>
      <w:numFmt w:val="decimal"/>
      <w:pStyle w:val="Heading1"/>
      <w:suff w:val="nothing"/>
      <w:lvlText w:val="%1."/>
      <w:lvlJc w:val="left"/>
      <w:pPr>
        <w:ind w:left="0" w:firstLine="0"/>
      </w:pPr>
      <w:rPr>
        <w:rFonts w:ascii="Times New Roman" w:hAnsi="Times New Roman" w:hint="default"/>
        <w:b w:val="0"/>
        <w:i w:val="0"/>
        <w:color w:val="auto"/>
        <w:sz w:val="24"/>
      </w:rPr>
    </w:lvl>
    <w:lvl w:ilvl="1">
      <w:start w:val="1"/>
      <w:numFmt w:val="decimal"/>
      <w:pStyle w:val="Level2"/>
      <w:suff w:val="nothing"/>
      <w:lvlText w:val="%1.%2"/>
      <w:lvlJc w:val="left"/>
      <w:pPr>
        <w:ind w:left="0" w:firstLine="1440"/>
      </w:pPr>
      <w:rPr>
        <w:rFonts w:hint="default"/>
      </w:rPr>
    </w:lvl>
    <w:lvl w:ilvl="2">
      <w:start w:val="1"/>
      <w:numFmt w:val="lowerLetter"/>
      <w:pStyle w:val="Level3"/>
      <w:suff w:val="nothing"/>
      <w:lvlText w:val="(%3)"/>
      <w:lvlJc w:val="left"/>
      <w:pPr>
        <w:ind w:left="2880" w:hanging="720"/>
      </w:pPr>
      <w:rPr>
        <w:rFonts w:hint="default"/>
      </w:rPr>
    </w:lvl>
    <w:lvl w:ilvl="3">
      <w:start w:val="1"/>
      <w:numFmt w:val="decimal"/>
      <w:pStyle w:val="Level4"/>
      <w:suff w:val="nothing"/>
      <w:lvlText w:val="(%4)"/>
      <w:lvlJc w:val="left"/>
      <w:pPr>
        <w:ind w:left="3600" w:hanging="720"/>
      </w:pPr>
      <w:rPr>
        <w:rFonts w:hint="default"/>
      </w:rPr>
    </w:lvl>
    <w:lvl w:ilvl="4">
      <w:start w:val="1"/>
      <w:numFmt w:val="upperLetter"/>
      <w:pStyle w:val="Level5"/>
      <w:suff w:val="nothing"/>
      <w:lvlText w:val="(%5)"/>
      <w:lvlJc w:val="left"/>
      <w:pPr>
        <w:ind w:left="4320" w:hanging="720"/>
      </w:pPr>
      <w:rPr>
        <w:rFonts w:hint="default"/>
      </w:rPr>
    </w:lvl>
    <w:lvl w:ilvl="5">
      <w:start w:val="1"/>
      <w:numFmt w:val="decimal"/>
      <w:pStyle w:val="Level6"/>
      <w:suff w:val="nothing"/>
      <w:lvlText w:val="%6)"/>
      <w:lvlJc w:val="left"/>
      <w:pPr>
        <w:ind w:left="5040" w:hanging="720"/>
      </w:pPr>
      <w:rPr>
        <w:rFonts w:hint="default"/>
      </w:rPr>
    </w:lvl>
    <w:lvl w:ilvl="6">
      <w:start w:val="1"/>
      <w:numFmt w:val="lowerLetter"/>
      <w:pStyle w:val="Level7"/>
      <w:suff w:val="nothing"/>
      <w:lvlText w:val="%7."/>
      <w:lvlJc w:val="left"/>
      <w:pPr>
        <w:ind w:left="5760" w:hanging="720"/>
      </w:pPr>
      <w:rPr>
        <w:rFonts w:hint="default"/>
      </w:rPr>
    </w:lvl>
    <w:lvl w:ilvl="7">
      <w:start w:val="1"/>
      <w:numFmt w:val="decimal"/>
      <w:pStyle w:val="Level8"/>
      <w:suff w:val="nothing"/>
      <w:lvlText w:val="%8."/>
      <w:lvlJc w:val="left"/>
      <w:pPr>
        <w:ind w:left="6480" w:hanging="720"/>
      </w:pPr>
      <w:rPr>
        <w:rFonts w:hint="default"/>
      </w:rPr>
    </w:lvl>
    <w:lvl w:ilvl="8">
      <w:start w:val="1"/>
      <w:numFmt w:val="lowerRoman"/>
      <w:pStyle w:val="Level9"/>
      <w:suff w:val="nothing"/>
      <w:lvlText w:val="%9."/>
      <w:lvlJc w:val="left"/>
      <w:pPr>
        <w:ind w:left="7200" w:hanging="720"/>
      </w:pPr>
      <w:rPr>
        <w:rFonts w:hint="default"/>
      </w:rPr>
    </w:lvl>
  </w:abstractNum>
  <w:abstractNum w:abstractNumId="17" w15:restartNumberingAfterBreak="0">
    <w:nsid w:val="4B7B7782"/>
    <w:multiLevelType w:val="hybridMultilevel"/>
    <w:tmpl w:val="35BCDBB4"/>
    <w:lvl w:ilvl="0" w:tplc="71A2D8A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C0CA2"/>
    <w:multiLevelType w:val="multilevel"/>
    <w:tmpl w:val="92C873E0"/>
    <w:numStyleLink w:val="CalfeeListStyles"/>
  </w:abstractNum>
  <w:abstractNum w:abstractNumId="19" w15:restartNumberingAfterBreak="0">
    <w:nsid w:val="518801F6"/>
    <w:multiLevelType w:val="multilevel"/>
    <w:tmpl w:val="92C873E0"/>
    <w:numStyleLink w:val="CalfeeListStyles"/>
  </w:abstractNum>
  <w:abstractNum w:abstractNumId="20" w15:restartNumberingAfterBreak="0">
    <w:nsid w:val="67E33844"/>
    <w:multiLevelType w:val="hybridMultilevel"/>
    <w:tmpl w:val="7AD8449C"/>
    <w:lvl w:ilvl="0" w:tplc="D6423E0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15"/>
  </w:num>
  <w:num w:numId="5">
    <w:abstractNumId w:val="20"/>
  </w:num>
  <w:num w:numId="6">
    <w:abstractNumId w:val="16"/>
  </w:num>
  <w:num w:numId="7">
    <w:abstractNumId w:val="16"/>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9"/>
  </w:num>
  <w:num w:numId="21">
    <w:abstractNumId w:val="16"/>
  </w:num>
  <w:num w:numId="22">
    <w:abstractNumId w:val="14"/>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51-2155-4350, v.1"/>
  </w:docVars>
  <w:rsids>
    <w:rsidRoot w:val="00886708"/>
    <w:rsid w:val="00003134"/>
    <w:rsid w:val="00005B40"/>
    <w:rsid w:val="000357EC"/>
    <w:rsid w:val="000707B7"/>
    <w:rsid w:val="00071DE8"/>
    <w:rsid w:val="00085619"/>
    <w:rsid w:val="00085704"/>
    <w:rsid w:val="00087B3C"/>
    <w:rsid w:val="000A49F4"/>
    <w:rsid w:val="000B38D5"/>
    <w:rsid w:val="000B3D4E"/>
    <w:rsid w:val="000C716A"/>
    <w:rsid w:val="000D4D85"/>
    <w:rsid w:val="000D667E"/>
    <w:rsid w:val="000E060C"/>
    <w:rsid w:val="000E2A7B"/>
    <w:rsid w:val="000F7A17"/>
    <w:rsid w:val="00102BBA"/>
    <w:rsid w:val="00110477"/>
    <w:rsid w:val="00165182"/>
    <w:rsid w:val="001851DB"/>
    <w:rsid w:val="001A00AC"/>
    <w:rsid w:val="001A4EBC"/>
    <w:rsid w:val="001B3970"/>
    <w:rsid w:val="001C05D9"/>
    <w:rsid w:val="001E052D"/>
    <w:rsid w:val="001F4771"/>
    <w:rsid w:val="001F4909"/>
    <w:rsid w:val="00204D5C"/>
    <w:rsid w:val="00205FA4"/>
    <w:rsid w:val="00224BCA"/>
    <w:rsid w:val="0023671A"/>
    <w:rsid w:val="00245947"/>
    <w:rsid w:val="0026136C"/>
    <w:rsid w:val="002615F9"/>
    <w:rsid w:val="00262FAF"/>
    <w:rsid w:val="00263214"/>
    <w:rsid w:val="00273470"/>
    <w:rsid w:val="002848B9"/>
    <w:rsid w:val="0029350D"/>
    <w:rsid w:val="002942B0"/>
    <w:rsid w:val="00294836"/>
    <w:rsid w:val="002954C5"/>
    <w:rsid w:val="002C788D"/>
    <w:rsid w:val="002D37FF"/>
    <w:rsid w:val="002D75FA"/>
    <w:rsid w:val="002F18D3"/>
    <w:rsid w:val="002F1ECB"/>
    <w:rsid w:val="00313A23"/>
    <w:rsid w:val="003169E0"/>
    <w:rsid w:val="003260AC"/>
    <w:rsid w:val="00326447"/>
    <w:rsid w:val="003270A3"/>
    <w:rsid w:val="00330CE3"/>
    <w:rsid w:val="00331213"/>
    <w:rsid w:val="003369AA"/>
    <w:rsid w:val="00345838"/>
    <w:rsid w:val="003501F1"/>
    <w:rsid w:val="00351F25"/>
    <w:rsid w:val="00372AB9"/>
    <w:rsid w:val="0037325F"/>
    <w:rsid w:val="00380DE1"/>
    <w:rsid w:val="003B495B"/>
    <w:rsid w:val="003B4F82"/>
    <w:rsid w:val="003B5E79"/>
    <w:rsid w:val="003D080B"/>
    <w:rsid w:val="003D2B9A"/>
    <w:rsid w:val="003E1D35"/>
    <w:rsid w:val="004004ED"/>
    <w:rsid w:val="00403252"/>
    <w:rsid w:val="00414692"/>
    <w:rsid w:val="004157B6"/>
    <w:rsid w:val="004277C2"/>
    <w:rsid w:val="004744BE"/>
    <w:rsid w:val="00475686"/>
    <w:rsid w:val="00476CB5"/>
    <w:rsid w:val="00492F75"/>
    <w:rsid w:val="00496309"/>
    <w:rsid w:val="004A1766"/>
    <w:rsid w:val="004A31C0"/>
    <w:rsid w:val="004C2DC4"/>
    <w:rsid w:val="004D48C3"/>
    <w:rsid w:val="004D4B8C"/>
    <w:rsid w:val="004F7BCD"/>
    <w:rsid w:val="00503854"/>
    <w:rsid w:val="00523262"/>
    <w:rsid w:val="00523D68"/>
    <w:rsid w:val="00524C22"/>
    <w:rsid w:val="00543725"/>
    <w:rsid w:val="005509F5"/>
    <w:rsid w:val="00561C94"/>
    <w:rsid w:val="0056707B"/>
    <w:rsid w:val="00574F36"/>
    <w:rsid w:val="00592696"/>
    <w:rsid w:val="00594AE9"/>
    <w:rsid w:val="005A7E22"/>
    <w:rsid w:val="005C09F9"/>
    <w:rsid w:val="005C2807"/>
    <w:rsid w:val="005D3CD9"/>
    <w:rsid w:val="00601FCC"/>
    <w:rsid w:val="00602147"/>
    <w:rsid w:val="00602725"/>
    <w:rsid w:val="00604A7F"/>
    <w:rsid w:val="00610182"/>
    <w:rsid w:val="00612181"/>
    <w:rsid w:val="00621BF3"/>
    <w:rsid w:val="006307D3"/>
    <w:rsid w:val="006426E0"/>
    <w:rsid w:val="006453DB"/>
    <w:rsid w:val="00651B66"/>
    <w:rsid w:val="00674E9F"/>
    <w:rsid w:val="00674FE0"/>
    <w:rsid w:val="006A29D5"/>
    <w:rsid w:val="006A60F0"/>
    <w:rsid w:val="006B4B9A"/>
    <w:rsid w:val="006B77FE"/>
    <w:rsid w:val="006C6CB7"/>
    <w:rsid w:val="006E3871"/>
    <w:rsid w:val="006E3A15"/>
    <w:rsid w:val="006F0F7B"/>
    <w:rsid w:val="00701B85"/>
    <w:rsid w:val="007046D3"/>
    <w:rsid w:val="00704F78"/>
    <w:rsid w:val="00712CDB"/>
    <w:rsid w:val="007245DC"/>
    <w:rsid w:val="00724D7B"/>
    <w:rsid w:val="007350CB"/>
    <w:rsid w:val="00745F03"/>
    <w:rsid w:val="00747B99"/>
    <w:rsid w:val="007548FD"/>
    <w:rsid w:val="0076732F"/>
    <w:rsid w:val="00774977"/>
    <w:rsid w:val="007A5968"/>
    <w:rsid w:val="007B1B09"/>
    <w:rsid w:val="007C4369"/>
    <w:rsid w:val="007C6E1C"/>
    <w:rsid w:val="007D174F"/>
    <w:rsid w:val="007D3068"/>
    <w:rsid w:val="007D3736"/>
    <w:rsid w:val="00801658"/>
    <w:rsid w:val="008126B9"/>
    <w:rsid w:val="0083115F"/>
    <w:rsid w:val="00835B49"/>
    <w:rsid w:val="00845717"/>
    <w:rsid w:val="008618D5"/>
    <w:rsid w:val="0088461E"/>
    <w:rsid w:val="00886708"/>
    <w:rsid w:val="008B3959"/>
    <w:rsid w:val="008C0964"/>
    <w:rsid w:val="008C6498"/>
    <w:rsid w:val="008E2134"/>
    <w:rsid w:val="00917506"/>
    <w:rsid w:val="00920748"/>
    <w:rsid w:val="00933958"/>
    <w:rsid w:val="009448C0"/>
    <w:rsid w:val="00962873"/>
    <w:rsid w:val="00966D88"/>
    <w:rsid w:val="00974D6B"/>
    <w:rsid w:val="00982217"/>
    <w:rsid w:val="00993CAD"/>
    <w:rsid w:val="009A6AA4"/>
    <w:rsid w:val="009B2216"/>
    <w:rsid w:val="009B714D"/>
    <w:rsid w:val="009C15B9"/>
    <w:rsid w:val="009C353A"/>
    <w:rsid w:val="009D03BE"/>
    <w:rsid w:val="009D500B"/>
    <w:rsid w:val="009E1ACC"/>
    <w:rsid w:val="009E269A"/>
    <w:rsid w:val="00A148B3"/>
    <w:rsid w:val="00A35047"/>
    <w:rsid w:val="00A360D6"/>
    <w:rsid w:val="00A50D1B"/>
    <w:rsid w:val="00A518DD"/>
    <w:rsid w:val="00A54903"/>
    <w:rsid w:val="00A6091E"/>
    <w:rsid w:val="00A719FE"/>
    <w:rsid w:val="00A72035"/>
    <w:rsid w:val="00AA609A"/>
    <w:rsid w:val="00AE3113"/>
    <w:rsid w:val="00B006E8"/>
    <w:rsid w:val="00B11E49"/>
    <w:rsid w:val="00B34259"/>
    <w:rsid w:val="00B41003"/>
    <w:rsid w:val="00B41FE6"/>
    <w:rsid w:val="00B84F56"/>
    <w:rsid w:val="00BA176B"/>
    <w:rsid w:val="00BA7FC9"/>
    <w:rsid w:val="00BC4FD0"/>
    <w:rsid w:val="00BD177F"/>
    <w:rsid w:val="00BD46CF"/>
    <w:rsid w:val="00BF629A"/>
    <w:rsid w:val="00BF7DC0"/>
    <w:rsid w:val="00C04A35"/>
    <w:rsid w:val="00C055CC"/>
    <w:rsid w:val="00C05E04"/>
    <w:rsid w:val="00C07ECB"/>
    <w:rsid w:val="00C13580"/>
    <w:rsid w:val="00C25AC0"/>
    <w:rsid w:val="00C3099D"/>
    <w:rsid w:val="00C42C18"/>
    <w:rsid w:val="00C449CA"/>
    <w:rsid w:val="00C672D8"/>
    <w:rsid w:val="00C87EAE"/>
    <w:rsid w:val="00C9306A"/>
    <w:rsid w:val="00CB02E5"/>
    <w:rsid w:val="00CC19CF"/>
    <w:rsid w:val="00CF002F"/>
    <w:rsid w:val="00D12700"/>
    <w:rsid w:val="00D27A1A"/>
    <w:rsid w:val="00D32C7A"/>
    <w:rsid w:val="00D52F00"/>
    <w:rsid w:val="00D650B8"/>
    <w:rsid w:val="00D73EB9"/>
    <w:rsid w:val="00D96942"/>
    <w:rsid w:val="00DB5280"/>
    <w:rsid w:val="00DC76E1"/>
    <w:rsid w:val="00DD6F7E"/>
    <w:rsid w:val="00DE2770"/>
    <w:rsid w:val="00DE44BE"/>
    <w:rsid w:val="00DE6F2D"/>
    <w:rsid w:val="00DF1F91"/>
    <w:rsid w:val="00DF2655"/>
    <w:rsid w:val="00E0714F"/>
    <w:rsid w:val="00E1570C"/>
    <w:rsid w:val="00E2669A"/>
    <w:rsid w:val="00E314E2"/>
    <w:rsid w:val="00E323CB"/>
    <w:rsid w:val="00E40D86"/>
    <w:rsid w:val="00E463E6"/>
    <w:rsid w:val="00E571CC"/>
    <w:rsid w:val="00E60517"/>
    <w:rsid w:val="00E72B20"/>
    <w:rsid w:val="00E84BC7"/>
    <w:rsid w:val="00E94260"/>
    <w:rsid w:val="00EB1920"/>
    <w:rsid w:val="00EB70E5"/>
    <w:rsid w:val="00ED5994"/>
    <w:rsid w:val="00EF208D"/>
    <w:rsid w:val="00EF555E"/>
    <w:rsid w:val="00F001BB"/>
    <w:rsid w:val="00F00478"/>
    <w:rsid w:val="00F31457"/>
    <w:rsid w:val="00F5212E"/>
    <w:rsid w:val="00F623D9"/>
    <w:rsid w:val="00F656E6"/>
    <w:rsid w:val="00F829FB"/>
    <w:rsid w:val="00F964C1"/>
    <w:rsid w:val="00FA4464"/>
    <w:rsid w:val="00FB1B6B"/>
    <w:rsid w:val="00FC0177"/>
    <w:rsid w:val="00FE49C7"/>
    <w:rsid w:val="00FF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8F3B"/>
  <w15:chartTrackingRefBased/>
  <w15:docId w15:val="{69353C1D-0078-4778-8D32-29B29D47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40"/>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181"/>
    <w:pPr>
      <w:jc w:val="both"/>
    </w:pPr>
  </w:style>
  <w:style w:type="paragraph" w:styleId="Heading1">
    <w:name w:val="heading 1"/>
    <w:basedOn w:val="Normal"/>
    <w:next w:val="Normal"/>
    <w:link w:val="Heading1Char"/>
    <w:qFormat/>
    <w:rsid w:val="00E94260"/>
    <w:pPr>
      <w:keepNext/>
      <w:numPr>
        <w:numId w:val="22"/>
      </w:numPr>
      <w:jc w:val="center"/>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lfeeListStyles">
    <w:name w:val="Calfee List Styles"/>
    <w:uiPriority w:val="99"/>
    <w:rsid w:val="00FE49C7"/>
    <w:pPr>
      <w:numPr>
        <w:numId w:val="6"/>
      </w:numPr>
    </w:pPr>
  </w:style>
  <w:style w:type="paragraph" w:customStyle="1" w:styleId="Level2">
    <w:name w:val="Level 2"/>
    <w:basedOn w:val="Normal"/>
    <w:qFormat/>
    <w:rsid w:val="00FE49C7"/>
    <w:pPr>
      <w:numPr>
        <w:ilvl w:val="1"/>
        <w:numId w:val="22"/>
      </w:numPr>
      <w:outlineLvl w:val="1"/>
    </w:pPr>
  </w:style>
  <w:style w:type="paragraph" w:customStyle="1" w:styleId="Level3">
    <w:name w:val="Level 3"/>
    <w:basedOn w:val="Normal"/>
    <w:qFormat/>
    <w:rsid w:val="00FE49C7"/>
    <w:pPr>
      <w:numPr>
        <w:ilvl w:val="2"/>
        <w:numId w:val="22"/>
      </w:numPr>
      <w:outlineLvl w:val="2"/>
    </w:pPr>
  </w:style>
  <w:style w:type="paragraph" w:customStyle="1" w:styleId="Level4">
    <w:name w:val="Level 4"/>
    <w:basedOn w:val="Normal"/>
    <w:qFormat/>
    <w:rsid w:val="00FE49C7"/>
    <w:pPr>
      <w:numPr>
        <w:ilvl w:val="3"/>
        <w:numId w:val="22"/>
      </w:numPr>
      <w:outlineLvl w:val="3"/>
    </w:pPr>
  </w:style>
  <w:style w:type="paragraph" w:customStyle="1" w:styleId="Level5">
    <w:name w:val="Level 5"/>
    <w:basedOn w:val="Normal"/>
    <w:qFormat/>
    <w:rsid w:val="00FE49C7"/>
    <w:pPr>
      <w:numPr>
        <w:ilvl w:val="4"/>
        <w:numId w:val="22"/>
      </w:numPr>
      <w:outlineLvl w:val="4"/>
    </w:pPr>
  </w:style>
  <w:style w:type="character" w:customStyle="1" w:styleId="Heading1Char">
    <w:name w:val="Heading 1 Char"/>
    <w:basedOn w:val="DefaultParagraphFont"/>
    <w:link w:val="Heading1"/>
    <w:rsid w:val="00E94260"/>
    <w:rPr>
      <w:rFonts w:eastAsiaTheme="majorEastAsia" w:cstheme="majorBidi"/>
      <w:bCs/>
      <w:szCs w:val="28"/>
    </w:rPr>
  </w:style>
  <w:style w:type="paragraph" w:customStyle="1" w:styleId="Level6">
    <w:name w:val="Level 6"/>
    <w:basedOn w:val="Normal"/>
    <w:qFormat/>
    <w:rsid w:val="00FE49C7"/>
    <w:pPr>
      <w:numPr>
        <w:ilvl w:val="5"/>
        <w:numId w:val="22"/>
      </w:numPr>
      <w:outlineLvl w:val="5"/>
    </w:pPr>
  </w:style>
  <w:style w:type="paragraph" w:customStyle="1" w:styleId="Level7">
    <w:name w:val="Level 7"/>
    <w:basedOn w:val="Normal"/>
    <w:qFormat/>
    <w:rsid w:val="00FE49C7"/>
    <w:pPr>
      <w:numPr>
        <w:ilvl w:val="6"/>
        <w:numId w:val="22"/>
      </w:numPr>
      <w:outlineLvl w:val="6"/>
    </w:pPr>
  </w:style>
  <w:style w:type="paragraph" w:customStyle="1" w:styleId="Level8">
    <w:name w:val="Level 8"/>
    <w:basedOn w:val="Normal"/>
    <w:qFormat/>
    <w:rsid w:val="00FE49C7"/>
    <w:pPr>
      <w:numPr>
        <w:ilvl w:val="7"/>
        <w:numId w:val="22"/>
      </w:numPr>
      <w:outlineLvl w:val="7"/>
    </w:pPr>
  </w:style>
  <w:style w:type="paragraph" w:customStyle="1" w:styleId="Level9">
    <w:name w:val="Level 9"/>
    <w:basedOn w:val="Normal"/>
    <w:qFormat/>
    <w:rsid w:val="00FE49C7"/>
    <w:pPr>
      <w:numPr>
        <w:ilvl w:val="8"/>
        <w:numId w:val="22"/>
      </w:numPr>
      <w:outlineLvl w:val="8"/>
    </w:pPr>
  </w:style>
  <w:style w:type="paragraph" w:styleId="Header">
    <w:name w:val="header"/>
    <w:basedOn w:val="Normal"/>
    <w:link w:val="HeaderChar"/>
    <w:uiPriority w:val="99"/>
    <w:unhideWhenUsed/>
    <w:rsid w:val="00DD6F7E"/>
    <w:pPr>
      <w:tabs>
        <w:tab w:val="center" w:pos="4680"/>
        <w:tab w:val="right" w:pos="9360"/>
      </w:tabs>
      <w:spacing w:after="0"/>
    </w:pPr>
  </w:style>
  <w:style w:type="character" w:customStyle="1" w:styleId="HeaderChar">
    <w:name w:val="Header Char"/>
    <w:basedOn w:val="DefaultParagraphFont"/>
    <w:link w:val="Header"/>
    <w:uiPriority w:val="99"/>
    <w:rsid w:val="00DD6F7E"/>
  </w:style>
  <w:style w:type="paragraph" w:styleId="Footer">
    <w:name w:val="footer"/>
    <w:basedOn w:val="Normal"/>
    <w:link w:val="FooterChar"/>
    <w:uiPriority w:val="99"/>
    <w:unhideWhenUsed/>
    <w:rsid w:val="00DD6F7E"/>
    <w:pPr>
      <w:tabs>
        <w:tab w:val="center" w:pos="4680"/>
        <w:tab w:val="right" w:pos="9360"/>
      </w:tabs>
      <w:spacing w:after="0"/>
    </w:pPr>
  </w:style>
  <w:style w:type="character" w:customStyle="1" w:styleId="FooterChar">
    <w:name w:val="Footer Char"/>
    <w:basedOn w:val="DefaultParagraphFont"/>
    <w:link w:val="Footer"/>
    <w:uiPriority w:val="99"/>
    <w:rsid w:val="00DD6F7E"/>
  </w:style>
  <w:style w:type="paragraph" w:styleId="BalloonText">
    <w:name w:val="Balloon Text"/>
    <w:basedOn w:val="Normal"/>
    <w:link w:val="BalloonTextChar"/>
    <w:uiPriority w:val="99"/>
    <w:semiHidden/>
    <w:unhideWhenUsed/>
    <w:rsid w:val="00DD6F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7E"/>
    <w:rPr>
      <w:rFonts w:ascii="Tahoma" w:hAnsi="Tahoma" w:cs="Tahoma"/>
      <w:sz w:val="16"/>
      <w:szCs w:val="16"/>
    </w:rPr>
  </w:style>
  <w:style w:type="paragraph" w:customStyle="1" w:styleId="DoubleSpace">
    <w:name w:val="Double Space"/>
    <w:basedOn w:val="Normal"/>
    <w:qFormat/>
    <w:rsid w:val="00C9306A"/>
    <w:pPr>
      <w:spacing w:after="0" w:line="480" w:lineRule="auto"/>
    </w:pPr>
  </w:style>
  <w:style w:type="paragraph" w:customStyle="1" w:styleId="SingleSpace">
    <w:name w:val="Single Space"/>
    <w:basedOn w:val="Normal"/>
    <w:qFormat/>
    <w:rsid w:val="006C6CB7"/>
  </w:style>
  <w:style w:type="paragraph" w:customStyle="1" w:styleId="CenteredHeading">
    <w:name w:val="Centered Heading"/>
    <w:basedOn w:val="Normal"/>
    <w:next w:val="Normal"/>
    <w:qFormat/>
    <w:rsid w:val="008126B9"/>
    <w:pPr>
      <w:keepNext/>
      <w:jc w:val="center"/>
    </w:pPr>
    <w:rPr>
      <w:u w:val="single"/>
    </w:rPr>
  </w:style>
  <w:style w:type="paragraph" w:customStyle="1" w:styleId="Style1">
    <w:name w:val="Style1"/>
    <w:basedOn w:val="Heading1"/>
    <w:qFormat/>
    <w:rsid w:val="004C2DC4"/>
    <w:pPr>
      <w:numPr>
        <w:numId w:val="0"/>
      </w:numPr>
    </w:pPr>
    <w:rPr>
      <w:bCs w:val="0"/>
      <w:szCs w:val="20"/>
    </w:rPr>
  </w:style>
  <w:style w:type="paragraph" w:styleId="ListParagraph">
    <w:name w:val="List Paragraph"/>
    <w:basedOn w:val="Normal"/>
    <w:uiPriority w:val="34"/>
    <w:qFormat/>
    <w:rsid w:val="00A50D1B"/>
    <w:pPr>
      <w:ind w:left="720"/>
      <w:contextualSpacing/>
    </w:pPr>
  </w:style>
  <w:style w:type="paragraph" w:styleId="TableofAuthorities">
    <w:name w:val="table of authorities"/>
    <w:basedOn w:val="Normal"/>
    <w:next w:val="Normal"/>
    <w:uiPriority w:val="99"/>
    <w:semiHidden/>
    <w:unhideWhenUsed/>
    <w:rsid w:val="00612181"/>
    <w:pPr>
      <w:spacing w:after="0"/>
      <w:ind w:left="245" w:right="1440" w:hanging="245"/>
      <w:jc w:val="left"/>
    </w:pPr>
  </w:style>
  <w:style w:type="paragraph" w:styleId="TOAHeading">
    <w:name w:val="toa heading"/>
    <w:basedOn w:val="Normal"/>
    <w:next w:val="Normal"/>
    <w:uiPriority w:val="99"/>
    <w:semiHidden/>
    <w:unhideWhenUsed/>
    <w:rsid w:val="00331213"/>
    <w:pPr>
      <w:spacing w:before="120"/>
    </w:pPr>
    <w:rPr>
      <w:rFonts w:eastAsiaTheme="majorEastAsia" w:cstheme="majorBidi"/>
      <w:b/>
      <w:bCs/>
    </w:rPr>
  </w:style>
  <w:style w:type="paragraph" w:styleId="TOC1">
    <w:name w:val="toc 1"/>
    <w:basedOn w:val="Normal"/>
    <w:next w:val="Normal"/>
    <w:autoRedefine/>
    <w:uiPriority w:val="39"/>
    <w:unhideWhenUsed/>
    <w:rsid w:val="009B2216"/>
    <w:pPr>
      <w:spacing w:after="100"/>
      <w:ind w:right="1440"/>
      <w:jc w:val="left"/>
    </w:pPr>
  </w:style>
  <w:style w:type="paragraph" w:styleId="TOC2">
    <w:name w:val="toc 2"/>
    <w:basedOn w:val="Normal"/>
    <w:next w:val="Normal"/>
    <w:autoRedefine/>
    <w:uiPriority w:val="39"/>
    <w:semiHidden/>
    <w:unhideWhenUsed/>
    <w:rsid w:val="009B2216"/>
    <w:pPr>
      <w:spacing w:after="100"/>
      <w:ind w:left="245" w:right="1440"/>
      <w:jc w:val="left"/>
    </w:pPr>
  </w:style>
  <w:style w:type="paragraph" w:styleId="TOC3">
    <w:name w:val="toc 3"/>
    <w:basedOn w:val="Normal"/>
    <w:next w:val="Normal"/>
    <w:autoRedefine/>
    <w:uiPriority w:val="39"/>
    <w:semiHidden/>
    <w:unhideWhenUsed/>
    <w:rsid w:val="009B2216"/>
    <w:pPr>
      <w:spacing w:after="100"/>
      <w:ind w:left="475" w:right="1440"/>
      <w:jc w:val="left"/>
    </w:pPr>
  </w:style>
  <w:style w:type="paragraph" w:styleId="TOC4">
    <w:name w:val="toc 4"/>
    <w:basedOn w:val="Normal"/>
    <w:next w:val="Normal"/>
    <w:autoRedefine/>
    <w:uiPriority w:val="39"/>
    <w:semiHidden/>
    <w:unhideWhenUsed/>
    <w:rsid w:val="009B2216"/>
    <w:pPr>
      <w:spacing w:after="100"/>
      <w:ind w:left="720" w:right="1440"/>
      <w:jc w:val="left"/>
    </w:pPr>
  </w:style>
  <w:style w:type="paragraph" w:styleId="TOC5">
    <w:name w:val="toc 5"/>
    <w:basedOn w:val="Normal"/>
    <w:next w:val="Normal"/>
    <w:autoRedefine/>
    <w:uiPriority w:val="39"/>
    <w:semiHidden/>
    <w:unhideWhenUsed/>
    <w:rsid w:val="009B2216"/>
    <w:pPr>
      <w:spacing w:after="100"/>
      <w:ind w:left="965" w:right="1440"/>
      <w:jc w:val="left"/>
    </w:pPr>
  </w:style>
  <w:style w:type="paragraph" w:styleId="TOC6">
    <w:name w:val="toc 6"/>
    <w:basedOn w:val="Normal"/>
    <w:next w:val="Normal"/>
    <w:autoRedefine/>
    <w:uiPriority w:val="39"/>
    <w:semiHidden/>
    <w:unhideWhenUsed/>
    <w:rsid w:val="009B2216"/>
    <w:pPr>
      <w:spacing w:after="100"/>
      <w:ind w:left="1195" w:right="1440"/>
      <w:jc w:val="left"/>
    </w:pPr>
  </w:style>
  <w:style w:type="paragraph" w:styleId="TOC7">
    <w:name w:val="toc 7"/>
    <w:basedOn w:val="Normal"/>
    <w:next w:val="Normal"/>
    <w:autoRedefine/>
    <w:uiPriority w:val="39"/>
    <w:semiHidden/>
    <w:unhideWhenUsed/>
    <w:rsid w:val="009B2216"/>
    <w:pPr>
      <w:spacing w:after="100"/>
      <w:ind w:left="1440" w:right="1440"/>
      <w:jc w:val="left"/>
    </w:pPr>
  </w:style>
  <w:style w:type="paragraph" w:styleId="TOC8">
    <w:name w:val="toc 8"/>
    <w:basedOn w:val="Normal"/>
    <w:next w:val="Normal"/>
    <w:autoRedefine/>
    <w:uiPriority w:val="39"/>
    <w:semiHidden/>
    <w:unhideWhenUsed/>
    <w:rsid w:val="009B2216"/>
    <w:pPr>
      <w:spacing w:after="100"/>
      <w:ind w:left="1685" w:right="1440"/>
      <w:jc w:val="left"/>
    </w:pPr>
  </w:style>
  <w:style w:type="paragraph" w:styleId="TOC9">
    <w:name w:val="toc 9"/>
    <w:basedOn w:val="Normal"/>
    <w:next w:val="Normal"/>
    <w:autoRedefine/>
    <w:uiPriority w:val="39"/>
    <w:semiHidden/>
    <w:unhideWhenUsed/>
    <w:rsid w:val="009B2216"/>
    <w:pPr>
      <w:spacing w:after="100"/>
      <w:ind w:left="1915" w:right="1440"/>
      <w:jc w:val="left"/>
    </w:pPr>
  </w:style>
  <w:style w:type="paragraph" w:styleId="EnvelopeAddress">
    <w:name w:val="envelope address"/>
    <w:basedOn w:val="Normal"/>
    <w:uiPriority w:val="99"/>
    <w:semiHidden/>
    <w:unhideWhenUsed/>
    <w:rsid w:val="00C05E04"/>
    <w:pPr>
      <w:framePr w:w="7920" w:h="1980" w:hRule="exact" w:hSpace="180" w:wrap="auto" w:hAnchor="page" w:xAlign="center" w:yAlign="bottom"/>
      <w:spacing w:after="0"/>
      <w:ind w:left="2880"/>
      <w:jc w:val="left"/>
    </w:pPr>
    <w:rPr>
      <w:rFonts w:eastAsiaTheme="majorEastAsia" w:cstheme="majorBidi"/>
    </w:rPr>
  </w:style>
  <w:style w:type="paragraph" w:customStyle="1" w:styleId="Default">
    <w:name w:val="Default"/>
    <w:rsid w:val="00165182"/>
    <w:pPr>
      <w:autoSpaceDE w:val="0"/>
      <w:autoSpaceDN w:val="0"/>
      <w:adjustRightInd w:val="0"/>
      <w:spacing w:after="0"/>
      <w:jc w:val="left"/>
    </w:pPr>
    <w:rPr>
      <w:rFonts w:ascii="Arial" w:eastAsia="Calibri" w:hAnsi="Arial" w:cs="Arial"/>
      <w:color w:val="000000"/>
    </w:rPr>
  </w:style>
  <w:style w:type="character" w:styleId="Hyperlink">
    <w:name w:val="Hyperlink"/>
    <w:uiPriority w:val="99"/>
    <w:unhideWhenUsed/>
    <w:rsid w:val="00FC0177"/>
    <w:rPr>
      <w:color w:val="0000FF"/>
      <w:u w:val="single"/>
    </w:rPr>
  </w:style>
  <w:style w:type="character" w:styleId="Emphasis">
    <w:name w:val="Emphasis"/>
    <w:basedOn w:val="DefaultParagraphFont"/>
    <w:uiPriority w:val="20"/>
    <w:qFormat/>
    <w:rsid w:val="00476CB5"/>
    <w:rPr>
      <w:i/>
      <w:iCs/>
    </w:rPr>
  </w:style>
  <w:style w:type="character" w:styleId="UnresolvedMention">
    <w:name w:val="Unresolved Mention"/>
    <w:basedOn w:val="DefaultParagraphFont"/>
    <w:uiPriority w:val="99"/>
    <w:semiHidden/>
    <w:unhideWhenUsed/>
    <w:rsid w:val="002848B9"/>
    <w:rPr>
      <w:color w:val="605E5C"/>
      <w:shd w:val="clear" w:color="auto" w:fill="E1DFDD"/>
    </w:rPr>
  </w:style>
  <w:style w:type="paragraph" w:customStyle="1" w:styleId="body-text">
    <w:name w:val="body-text"/>
    <w:basedOn w:val="Normal"/>
    <w:rsid w:val="00FF0BF0"/>
    <w:pPr>
      <w:spacing w:after="180"/>
      <w:jc w:val="left"/>
    </w:pPr>
    <w:rPr>
      <w:rFonts w:eastAsiaTheme="minorEastAsia"/>
    </w:rPr>
  </w:style>
  <w:style w:type="character" w:styleId="FollowedHyperlink">
    <w:name w:val="FollowedHyperlink"/>
    <w:basedOn w:val="DefaultParagraphFont"/>
    <w:uiPriority w:val="99"/>
    <w:semiHidden/>
    <w:unhideWhenUsed/>
    <w:rsid w:val="000856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ee.com/" TargetMode="External"/><Relationship Id="rId13" Type="http://schemas.openxmlformats.org/officeDocument/2006/relationships/hyperlink" Target="https://www.lexmundi.com/lexmundi/default.as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ambers.com/law-firm/calfee-halter-griswold-llp-high-net-worth-21:657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mbers.com/law-firm/calfee-halter-griswold-llp-usa-5:657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lfee.com/professionals-h-jeffrey-schwart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alfee.com/capabilities-practices-business-restructuring-and-insolvency" TargetMode="External"/><Relationship Id="rId14" Type="http://schemas.openxmlformats.org/officeDocument/2006/relationships/hyperlink" Target="https://www.calfee.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A8E8-7E29-4772-9981-B7375EA3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 Susan</dc:creator>
  <cp:keywords/>
  <dc:description/>
  <cp:lastModifiedBy>Kurz, Susan</cp:lastModifiedBy>
  <cp:revision>2</cp:revision>
  <cp:lastPrinted>2019-12-05T21:56:00Z</cp:lastPrinted>
  <dcterms:created xsi:type="dcterms:W3CDTF">2019-12-06T05:46:00Z</dcterms:created>
  <dcterms:modified xsi:type="dcterms:W3CDTF">2019-12-06T05:46:00Z</dcterms:modified>
</cp:coreProperties>
</file>